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5216A" w14:textId="216449C9" w:rsidR="00AA7983" w:rsidRDefault="00087D7F" w:rsidP="004B00CB">
      <w:pPr>
        <w:pStyle w:val="Default"/>
        <w:ind w:right="49"/>
        <w:rPr>
          <w:rFonts w:eastAsia="Times New Roman"/>
          <w:b/>
          <w:bCs/>
          <w:color w:val="auto"/>
          <w:sz w:val="36"/>
          <w:szCs w:val="32"/>
          <w:lang w:val="es-EC" w:eastAsia="es-ES_tradnl"/>
        </w:rPr>
      </w:pPr>
      <w:r w:rsidRPr="00087D7F">
        <w:rPr>
          <w:rFonts w:eastAsia="Times New Roman"/>
          <w:b/>
          <w:bCs/>
          <w:color w:val="auto"/>
          <w:sz w:val="36"/>
          <w:szCs w:val="32"/>
          <w:lang w:val="es-EC" w:eastAsia="es-ES_tradnl"/>
        </w:rPr>
        <w:t>Impacto de la resistencia antimicrobiana en el primer nivel de atención</w:t>
      </w:r>
      <w:r>
        <w:rPr>
          <w:rFonts w:eastAsia="Times New Roman"/>
          <w:b/>
          <w:bCs/>
          <w:color w:val="auto"/>
          <w:sz w:val="36"/>
          <w:szCs w:val="32"/>
          <w:lang w:val="es-EC" w:eastAsia="es-ES_tradnl"/>
        </w:rPr>
        <w:t>.</w:t>
      </w:r>
    </w:p>
    <w:p w14:paraId="7AE5B2E9" w14:textId="77777777" w:rsidR="0061284C" w:rsidRPr="008C3DD7" w:rsidRDefault="0061284C" w:rsidP="004B00CB">
      <w:pPr>
        <w:pStyle w:val="Default"/>
        <w:ind w:right="49"/>
        <w:rPr>
          <w:lang w:val="es-US"/>
        </w:rPr>
      </w:pPr>
    </w:p>
    <w:p w14:paraId="2E79298E" w14:textId="29631BA2" w:rsidR="00AA7983" w:rsidRDefault="00837AA2" w:rsidP="004B00CB">
      <w:pPr>
        <w:pStyle w:val="Default"/>
        <w:ind w:right="49"/>
      </w:pPr>
      <w:r w:rsidRPr="00837AA2">
        <w:t>Impact of antimicrobial resistance at the primary care level</w:t>
      </w:r>
      <w:r>
        <w:t xml:space="preserve"> </w:t>
      </w:r>
    </w:p>
    <w:p w14:paraId="52DAC695" w14:textId="77777777" w:rsidR="0061284C" w:rsidRDefault="0061284C" w:rsidP="004B00CB">
      <w:pPr>
        <w:pStyle w:val="Default"/>
        <w:ind w:right="49"/>
      </w:pPr>
    </w:p>
    <w:p w14:paraId="59E26C41" w14:textId="5AC953CF" w:rsidR="0011536A" w:rsidRPr="00AA7983" w:rsidRDefault="00837AA2" w:rsidP="008C3DD7">
      <w:pPr>
        <w:pStyle w:val="Default"/>
        <w:ind w:right="49"/>
        <w:rPr>
          <w:b/>
          <w:bCs/>
          <w:sz w:val="20"/>
          <w:szCs w:val="20"/>
          <w:lang w:val="pt-BR"/>
        </w:rPr>
      </w:pPr>
      <w:r w:rsidRPr="00837AA2">
        <w:rPr>
          <w:lang w:val="pt-BR"/>
        </w:rPr>
        <w:t>Impacto da resistência antimicrobiana no primeiro nível de atenção</w:t>
      </w:r>
      <w:r>
        <w:rPr>
          <w:lang w:val="pt-BR"/>
        </w:rPr>
        <w:t xml:space="preserve"> </w:t>
      </w:r>
    </w:p>
    <w:p w14:paraId="4050BA38" w14:textId="203DB85D" w:rsidR="00EF016D" w:rsidRPr="000F6D0C" w:rsidRDefault="00837AA2" w:rsidP="00EF016D">
      <w:pPr>
        <w:ind w:right="49"/>
        <w:rPr>
          <w:b/>
          <w:bCs/>
          <w:sz w:val="20"/>
          <w:szCs w:val="20"/>
          <w:lang w:val="en-US"/>
        </w:rPr>
      </w:pPr>
      <w:r w:rsidRPr="000F6D0C">
        <w:rPr>
          <w:b/>
          <w:bCs/>
          <w:sz w:val="20"/>
          <w:szCs w:val="20"/>
          <w:lang w:val="en-US"/>
        </w:rPr>
        <w:t>Yanet M. Torres Acosta</w:t>
      </w:r>
      <w:r w:rsidR="00EF016D" w:rsidRPr="000F6D0C">
        <w:rPr>
          <w:b/>
          <w:bCs/>
          <w:sz w:val="20"/>
          <w:szCs w:val="20"/>
          <w:lang w:val="en-US"/>
        </w:rPr>
        <w:t xml:space="preserve">* </w:t>
      </w:r>
    </w:p>
    <w:p w14:paraId="7404C936" w14:textId="543987FB" w:rsidR="00EF016D" w:rsidRPr="000F6D0C" w:rsidRDefault="00837AA2" w:rsidP="00EF016D">
      <w:pPr>
        <w:ind w:right="49"/>
        <w:rPr>
          <w:b/>
          <w:bCs/>
          <w:sz w:val="20"/>
          <w:szCs w:val="20"/>
          <w:lang w:val="en-US"/>
        </w:rPr>
      </w:pPr>
      <w:r w:rsidRPr="000F6D0C">
        <w:rPr>
          <w:b/>
          <w:bCs/>
          <w:sz w:val="20"/>
          <w:szCs w:val="20"/>
          <w:lang w:val="en-US"/>
        </w:rPr>
        <w:t>Johana Gutiérrez Zehr</w:t>
      </w:r>
      <w:r w:rsidR="00EF016D" w:rsidRPr="000F6D0C">
        <w:rPr>
          <w:b/>
          <w:bCs/>
          <w:sz w:val="20"/>
          <w:szCs w:val="20"/>
          <w:lang w:val="en-US"/>
        </w:rPr>
        <w:t>**</w:t>
      </w:r>
    </w:p>
    <w:p w14:paraId="4D736D0F" w14:textId="77C8008B" w:rsidR="004565C8" w:rsidRPr="000F6D0C" w:rsidRDefault="00837AA2" w:rsidP="00EF016D">
      <w:pPr>
        <w:ind w:right="49"/>
        <w:rPr>
          <w:b/>
          <w:bCs/>
          <w:sz w:val="20"/>
          <w:szCs w:val="20"/>
          <w:lang w:val="en-US"/>
        </w:rPr>
      </w:pPr>
      <w:r w:rsidRPr="000F6D0C">
        <w:rPr>
          <w:b/>
          <w:bCs/>
          <w:sz w:val="20"/>
          <w:szCs w:val="20"/>
          <w:lang w:val="en-US"/>
        </w:rPr>
        <w:t>Astrid Nathalia Páez Esteban</w:t>
      </w:r>
      <w:r w:rsidR="00EF016D" w:rsidRPr="000F6D0C">
        <w:rPr>
          <w:b/>
          <w:bCs/>
          <w:sz w:val="20"/>
          <w:szCs w:val="20"/>
          <w:lang w:val="en-US"/>
        </w:rPr>
        <w:t>***</w:t>
      </w:r>
    </w:p>
    <w:p w14:paraId="7206151B" w14:textId="77777777" w:rsidR="001808A0" w:rsidRPr="007C566D" w:rsidRDefault="00427D1F">
      <w:pPr>
        <w:ind w:right="49"/>
        <w:rPr>
          <w:sz w:val="18"/>
          <w:szCs w:val="18"/>
          <w:lang w:val="en-US"/>
        </w:rPr>
      </w:pPr>
      <w:r w:rsidRPr="0034598E">
        <w:rPr>
          <w:noProof/>
          <w:sz w:val="18"/>
          <w:szCs w:val="18"/>
          <w:lang w:val="es-MX"/>
        </w:rPr>
        <mc:AlternateContent>
          <mc:Choice Requires="wps">
            <w:drawing>
              <wp:anchor distT="0" distB="0" distL="114300" distR="114300" simplePos="0" relativeHeight="251659264" behindDoc="0" locked="0" layoutInCell="1" allowOverlap="1" wp14:anchorId="0AF94E51" wp14:editId="193E245D">
                <wp:simplePos x="0" y="0"/>
                <wp:positionH relativeFrom="column">
                  <wp:posOffset>3380</wp:posOffset>
                </wp:positionH>
                <wp:positionV relativeFrom="paragraph">
                  <wp:posOffset>58867</wp:posOffset>
                </wp:positionV>
                <wp:extent cx="4082603" cy="0"/>
                <wp:effectExtent l="0" t="12700" r="19685" b="12700"/>
                <wp:wrapNone/>
                <wp:docPr id="2" name="Conector recto 2"/>
                <wp:cNvGraphicFramePr/>
                <a:graphic xmlns:a="http://schemas.openxmlformats.org/drawingml/2006/main">
                  <a:graphicData uri="http://schemas.microsoft.com/office/word/2010/wordprocessingShape">
                    <wps:wsp>
                      <wps:cNvCnPr/>
                      <wps:spPr>
                        <a:xfrm>
                          <a:off x="0" y="0"/>
                          <a:ext cx="4082603" cy="0"/>
                        </a:xfrm>
                        <a:prstGeom prst="line">
                          <a:avLst/>
                        </a:prstGeom>
                        <a:ln w="28575">
                          <a:solidFill>
                            <a:schemeClr val="accent6">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v:line id="Conector recto 2"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375623 [1609]" strokeweigh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" from=".25pt,4.65pt" to="321.7pt,4.65pt" w14:anchorId="39A5FB4A">
                <v:stroke joinstyle="miter"/>
              </v:line>
            </w:pict>
          </mc:Fallback>
        </mc:AlternateContent>
      </w:r>
    </w:p>
    <w:p w14:paraId="34498445" w14:textId="77777777" w:rsidR="00FF3B1C" w:rsidRPr="00FF3B1C" w:rsidRDefault="00427D1F" w:rsidP="00FF3B1C">
      <w:pPr>
        <w:ind w:right="49"/>
        <w:jc w:val="both"/>
        <w:rPr>
          <w:b/>
          <w:u w:val="single"/>
          <w:lang w:val="en-US"/>
        </w:rPr>
      </w:pPr>
      <w:r w:rsidRPr="00FF3B1C">
        <w:rPr>
          <w:b/>
          <w:u w:val="single"/>
          <w:lang w:val="en-US"/>
        </w:rPr>
        <w:t>Abstract</w:t>
      </w:r>
      <w:r w:rsidR="004B00CB" w:rsidRPr="00FF3B1C">
        <w:rPr>
          <w:b/>
          <w:u w:val="single"/>
          <w:lang w:val="en-US"/>
        </w:rPr>
        <w:t xml:space="preserve"> </w:t>
      </w:r>
    </w:p>
    <w:p w14:paraId="15DB3DB1" w14:textId="77777777" w:rsidR="00837AA2" w:rsidRPr="00837AA2" w:rsidRDefault="00837AA2" w:rsidP="00837AA2">
      <w:pPr>
        <w:ind w:right="49"/>
        <w:jc w:val="both"/>
        <w:rPr>
          <w:lang w:val="en-US"/>
        </w:rPr>
      </w:pPr>
      <w:r w:rsidRPr="00837AA2">
        <w:rPr>
          <w:lang w:val="en-US"/>
        </w:rPr>
        <w:t>Antimicrobial resistance (AMR) represents one of the main threats to global public health, especially at the primary care level, where most common infections are managed. This study analyzes the clinical and epidemiological impact of AMR in primary care centers in Panama, evaluating prescribing patterns, prevalence of resistant strains, and clinical outcomes in a cohort of 300 patients treated for respiratory, urinary, and skin infections. It was found that 38% of urinary tract infections and 27% of respiratory infections showed resistance to first-line antibiotics. Empirical prescribing without microbiological confirmation occurred in 62% of cases and was associated with a higher rate of clinical complications (OR: 2.3; 95% CI: 1.5–3.6; p&lt;0.001).</w:t>
      </w:r>
    </w:p>
    <w:p w14:paraId="07DF5414" w14:textId="77777777" w:rsidR="00837AA2" w:rsidRDefault="00837AA2" w:rsidP="00837AA2">
      <w:pPr>
        <w:ind w:right="49"/>
        <w:jc w:val="both"/>
        <w:rPr>
          <w:lang w:val="en-US"/>
        </w:rPr>
      </w:pPr>
      <w:r w:rsidRPr="00837AA2">
        <w:rPr>
          <w:lang w:val="en-US"/>
        </w:rPr>
        <w:t>Multivariable analysis showed that advanced age, the presence of comorbidities, and bacterial resistance were factors associated with adverse outcomes. The results suggest that family medicine can play a key role in containing antimicrobial resistance (AMR) through rational prescribing strategies, community education, and clinical surveillance. Strengthening continuing medical education, implementing updated clinical guidelines, and improving access to microbiological testing at the primary care level are recommended. This study provides relevant evidence for the design of public policies aimed at reducing AMR from a comprehensive perspective, centered on primary care and a family health approach.</w:t>
      </w:r>
    </w:p>
    <w:p w14:paraId="147F6CC8" w14:textId="77777777" w:rsidR="00D06BD2" w:rsidRDefault="00B25137" w:rsidP="00D06BD2">
      <w:pPr>
        <w:ind w:right="49"/>
        <w:jc w:val="both"/>
        <w:rPr>
          <w:lang w:val="en-US"/>
        </w:rPr>
      </w:pPr>
      <w:r w:rsidRPr="00B25137">
        <w:rPr>
          <w:b/>
          <w:bCs/>
          <w:lang w:val="en-US"/>
        </w:rPr>
        <w:t>Keywords:</w:t>
      </w:r>
      <w:r w:rsidRPr="00B25137">
        <w:rPr>
          <w:lang w:val="en-US"/>
        </w:rPr>
        <w:t xml:space="preserve"> </w:t>
      </w:r>
      <w:r w:rsidR="00D06BD2" w:rsidRPr="00D06BD2">
        <w:rPr>
          <w:lang w:val="en-US"/>
        </w:rPr>
        <w:t>Antimicrobial</w:t>
      </w:r>
      <w:r w:rsidR="00D06BD2">
        <w:rPr>
          <w:lang w:val="en-US"/>
        </w:rPr>
        <w:t>;</w:t>
      </w:r>
      <w:r w:rsidR="00D06BD2" w:rsidRPr="00D06BD2">
        <w:rPr>
          <w:lang w:val="en-US"/>
        </w:rPr>
        <w:t xml:space="preserve"> </w:t>
      </w:r>
      <w:r w:rsidR="00D06BD2">
        <w:rPr>
          <w:lang w:val="en-US"/>
        </w:rPr>
        <w:t>R</w:t>
      </w:r>
      <w:r w:rsidR="00D06BD2" w:rsidRPr="00D06BD2">
        <w:rPr>
          <w:lang w:val="en-US"/>
        </w:rPr>
        <w:t>esistance</w:t>
      </w:r>
      <w:r w:rsidR="00D06BD2">
        <w:rPr>
          <w:lang w:val="en-US"/>
        </w:rPr>
        <w:t xml:space="preserve">, </w:t>
      </w:r>
      <w:r w:rsidR="00D06BD2" w:rsidRPr="00D06BD2">
        <w:rPr>
          <w:lang w:val="en-US"/>
        </w:rPr>
        <w:t>Primary care</w:t>
      </w:r>
      <w:r w:rsidR="00D06BD2">
        <w:rPr>
          <w:lang w:val="en-US"/>
        </w:rPr>
        <w:t xml:space="preserve">; </w:t>
      </w:r>
      <w:r w:rsidR="00D06BD2" w:rsidRPr="00D06BD2">
        <w:rPr>
          <w:lang w:val="en-US"/>
        </w:rPr>
        <w:t>Common infections</w:t>
      </w:r>
      <w:r w:rsidR="00D06BD2">
        <w:rPr>
          <w:lang w:val="en-US"/>
        </w:rPr>
        <w:t>.</w:t>
      </w:r>
    </w:p>
    <w:p w14:paraId="13335873" w14:textId="77777777" w:rsidR="00450FCF" w:rsidRDefault="00AA7983" w:rsidP="00450FCF">
      <w:pPr>
        <w:ind w:right="49"/>
        <w:jc w:val="both"/>
        <w:rPr>
          <w:b/>
          <w:bCs/>
          <w:sz w:val="27"/>
          <w:szCs w:val="27"/>
          <w:lang w:val="es-US" w:eastAsia="pt-BR"/>
        </w:rPr>
      </w:pPr>
      <w:r w:rsidRPr="00D06BD2">
        <w:rPr>
          <w:b/>
          <w:bCs/>
          <w:sz w:val="27"/>
          <w:szCs w:val="27"/>
          <w:lang w:val="es-US" w:eastAsia="pt-BR"/>
        </w:rPr>
        <w:t>Resumen</w:t>
      </w:r>
    </w:p>
    <w:p w14:paraId="324CD98E" w14:textId="77777777" w:rsidR="00450FCF" w:rsidRDefault="00D06BD2" w:rsidP="00450FCF">
      <w:pPr>
        <w:ind w:right="49"/>
        <w:jc w:val="both"/>
        <w:rPr>
          <w:lang w:val="es-US"/>
        </w:rPr>
      </w:pPr>
      <w:r w:rsidRPr="00D06BD2">
        <w:rPr>
          <w:lang w:val="es-US"/>
        </w:rPr>
        <w:t xml:space="preserve">La resistencia antimicrobiana (RAM) representa una de las principales amenazas para la salud pública global, especialmente en el primer nivel de atención, donde se manejan la mayoría de las </w:t>
      </w:r>
      <w:r w:rsidRPr="00D06BD2">
        <w:rPr>
          <w:lang w:val="es-US"/>
        </w:rPr>
        <w:lastRenderedPageBreak/>
        <w:t>infecciones comunes. Este estudio analiza el impacto clínico y epidemiológico de la RAM en centros de atención primaria en Panamá, evaluando patrones de prescripción, prevalencia de cepas resistentes y desenlaces clínicos en una cohorte de 300 pacientes atendidos por infecciones respiratorias, urinarias y cutáneas. Se encontró que el 38% de las infecciones urinarias y el 27% de las respiratorias presentaron resistencia a antibióticos de primera línea. La prescripción empírica sin confirmación microbiológica se realizó en el 62% de los casos, y se asoció con una mayor tasa de complicaciones clínicas (OR: 2,3; IC 95%: 1,5–3,6; p&lt;0,001).</w:t>
      </w:r>
      <w:r w:rsidR="0003682F">
        <w:rPr>
          <w:lang w:val="es-US"/>
        </w:rPr>
        <w:t xml:space="preserve"> </w:t>
      </w:r>
      <w:r w:rsidRPr="00D06BD2">
        <w:rPr>
          <w:lang w:val="es-US"/>
        </w:rPr>
        <w:t>El análisis multivariable mostró que la edad avanzada, la presencia de comorbilidades y la resistencia bacteriana fueron factores asociados a desenlaces adversos. Los resultados sugieren que la medicina familiar puede desempeñar un papel clave en la contención de la RAM mediante estrategias de prescripción racional, educación comunitaria y vigilancia clínica. Se recomienda fortalecer la formación médica continua, implementar guías clínicas actualizadas y mejorar el acceso a pruebas microbiológicas en el primer nivel de atención. Este estudio aporta evidencia relevante para el diseño de políticas públicas orientadas a reducir la RAM desde una perspectiva integral, centrada en la atención primaria y el enfoque de salud familiar.</w:t>
      </w:r>
    </w:p>
    <w:p w14:paraId="579B509B" w14:textId="77777777" w:rsidR="00450FCF" w:rsidRDefault="00D06BD2" w:rsidP="00450FCF">
      <w:pPr>
        <w:ind w:right="49"/>
        <w:jc w:val="both"/>
        <w:rPr>
          <w:lang w:val="es-US"/>
        </w:rPr>
      </w:pPr>
      <w:r w:rsidRPr="00D06BD2">
        <w:rPr>
          <w:b/>
          <w:bCs/>
          <w:lang w:val="es-US"/>
        </w:rPr>
        <w:t>Palabras clave:</w:t>
      </w:r>
      <w:r>
        <w:rPr>
          <w:lang w:val="es-US"/>
        </w:rPr>
        <w:t xml:space="preserve"> A</w:t>
      </w:r>
      <w:r w:rsidRPr="00D06BD2">
        <w:rPr>
          <w:lang w:val="es-US"/>
        </w:rPr>
        <w:t xml:space="preserve">ntimicrobiano; </w:t>
      </w:r>
      <w:r>
        <w:rPr>
          <w:lang w:val="es-US"/>
        </w:rPr>
        <w:t>R</w:t>
      </w:r>
      <w:r w:rsidRPr="00D06BD2">
        <w:rPr>
          <w:lang w:val="es-US"/>
        </w:rPr>
        <w:t xml:space="preserve">esistencia; </w:t>
      </w:r>
      <w:r>
        <w:rPr>
          <w:lang w:val="es-US"/>
        </w:rPr>
        <w:t>A</w:t>
      </w:r>
      <w:r w:rsidRPr="00D06BD2">
        <w:rPr>
          <w:lang w:val="es-US"/>
        </w:rPr>
        <w:t xml:space="preserve">tención primaria; </w:t>
      </w:r>
      <w:r>
        <w:rPr>
          <w:lang w:val="es-US"/>
        </w:rPr>
        <w:t>I</w:t>
      </w:r>
      <w:r w:rsidRPr="00D06BD2">
        <w:rPr>
          <w:lang w:val="es-US"/>
        </w:rPr>
        <w:t>nfecciones comunes.</w:t>
      </w:r>
    </w:p>
    <w:p w14:paraId="2FA97B89" w14:textId="77777777" w:rsidR="00450FCF" w:rsidRPr="00450FCF" w:rsidRDefault="00AA7983" w:rsidP="00450FCF">
      <w:pPr>
        <w:ind w:right="49"/>
        <w:jc w:val="both"/>
        <w:rPr>
          <w:lang w:val="pt-PT"/>
        </w:rPr>
      </w:pPr>
      <w:r w:rsidRPr="00AA7983">
        <w:rPr>
          <w:b/>
          <w:bCs/>
          <w:sz w:val="27"/>
          <w:szCs w:val="27"/>
          <w:lang w:val="pt-BR" w:eastAsia="pt-BR"/>
        </w:rPr>
        <w:t xml:space="preserve">Resumo </w:t>
      </w:r>
    </w:p>
    <w:p w14:paraId="1C87E1B1" w14:textId="77777777" w:rsidR="00450FCF" w:rsidRPr="00450FCF" w:rsidRDefault="00995506" w:rsidP="00450FCF">
      <w:pPr>
        <w:ind w:right="49"/>
        <w:jc w:val="both"/>
        <w:rPr>
          <w:lang w:val="pt-PT"/>
        </w:rPr>
      </w:pPr>
      <w:r w:rsidRPr="00995506">
        <w:rPr>
          <w:lang w:val="pt-BR" w:eastAsia="pt-BR"/>
        </w:rPr>
        <w:t xml:space="preserve">A resistência antimicrobiana (RAM) representa uma das principais ameaças à saúde pública global, especialmente no primeiro nível de atenção, onde são manejadas a maioria das infecções comuns. Este estudo analisa o impacto clínico e epidemiológico da RAM em centros de atenção primária no Panamá, avaliando padrões de prescrição, prevalência de cepas resistentes e desfechos clínicos em uma coorte de 300 pacientes atendidos por infecções respiratórias, urinárias e cutâneas. Verificou-se que 38% das infecções urinárias e 27% das respiratórias apresentaram resistência a antibióticos de primeira linha. A prescrição empírica sem confirmação microbiológica foi realizada em 62% dos casos e foi associada a uma maior taxa de complicações clínicas (OR: 2,3; IC 95%: 1,5–3,6; p&lt;0,001). A análise multivariável mostrou que idade avançada, presença de comorbidades e resistência bacteriana foram fatores associados a desfechos adversos. Os resultados sugerem que a medicina de família pode desempenhar um papel fundamental na contenção da RAM por meio de estratégias de prescrição racional, </w:t>
      </w:r>
      <w:r w:rsidRPr="00995506">
        <w:rPr>
          <w:lang w:val="pt-BR" w:eastAsia="pt-BR"/>
        </w:rPr>
        <w:lastRenderedPageBreak/>
        <w:t>educação comunitária e vigilância clínica. Recomenda-se fortalecer a formação médica continuada, implementar diretrizes clínicas atualizadas e melhorar o acesso a testes microbiológicos no primeiro nível de atenção. Este estudo fornece evidências relevantes para o desenho de políticas públicas voltadas para reduzir a RAM sob uma perspectiva integral, centrada na atenção primária e na abordagem da saúde familiar.</w:t>
      </w:r>
    </w:p>
    <w:p w14:paraId="29B7B054" w14:textId="38046AF4" w:rsidR="00995506" w:rsidRPr="00450FCF" w:rsidRDefault="00995506" w:rsidP="00450FCF">
      <w:pPr>
        <w:ind w:right="49"/>
        <w:jc w:val="both"/>
        <w:rPr>
          <w:lang w:val="pt-PT"/>
        </w:rPr>
      </w:pPr>
      <w:r w:rsidRPr="00995506">
        <w:rPr>
          <w:b/>
          <w:bCs/>
          <w:lang w:val="pt-BR" w:eastAsia="pt-BR"/>
        </w:rPr>
        <w:t>Palavras-chave:</w:t>
      </w:r>
      <w:r w:rsidRPr="00995506">
        <w:rPr>
          <w:lang w:val="pt-BR" w:eastAsia="pt-BR"/>
        </w:rPr>
        <w:t xml:space="preserve"> Antimicrobiano; Resistência; Atenção primária; Infecções comuns.</w:t>
      </w:r>
    </w:p>
    <w:p w14:paraId="6F55E30C" w14:textId="18C69B19" w:rsidR="001808A0" w:rsidRPr="00AE7E60" w:rsidRDefault="00782896">
      <w:pPr>
        <w:ind w:right="49"/>
        <w:jc w:val="both"/>
      </w:pPr>
      <w:r>
        <w:rPr>
          <w:b/>
        </w:rPr>
        <w:t>I</w:t>
      </w:r>
      <w:r w:rsidR="00427D1F" w:rsidRPr="00AE7E60">
        <w:rPr>
          <w:b/>
        </w:rPr>
        <w:t>NTRODUC</w:t>
      </w:r>
      <w:r w:rsidR="0061284C">
        <w:rPr>
          <w:b/>
        </w:rPr>
        <w:t>CIÓN</w:t>
      </w:r>
    </w:p>
    <w:p w14:paraId="19403FF4" w14:textId="3FB91246" w:rsidR="00867A71" w:rsidRDefault="00867A71" w:rsidP="00867A71">
      <w:pPr>
        <w:ind w:right="49"/>
        <w:jc w:val="both"/>
        <w:rPr>
          <w:lang w:val="es-ES"/>
        </w:rPr>
      </w:pPr>
      <w:bookmarkStart w:id="0" w:name="_Toc400772601"/>
      <w:r w:rsidRPr="00867A71">
        <w:rPr>
          <w:lang w:val="es-ES"/>
        </w:rPr>
        <w:t>La resistencia antimicrobiana (RAM) es una amenaza creciente que compromete la eficacia de los tratamientos médicos y pone en riesgo los avances logrados en el control de enfermedades infecciosas. La Organización Mundial de la Salud (OMS) ha declarado que la RAM podría causar más muertes que el cáncer para el año 2050 si no se implementan medidas urgentes (WHO, 202</w:t>
      </w:r>
      <w:r w:rsidR="000F6D0C">
        <w:rPr>
          <w:lang w:val="es-ES"/>
        </w:rPr>
        <w:t>3</w:t>
      </w:r>
      <w:r w:rsidRPr="00867A71">
        <w:rPr>
          <w:lang w:val="es-ES"/>
        </w:rPr>
        <w:t>; O’Neill, 2020; PAHO, 202</w:t>
      </w:r>
      <w:r w:rsidR="006853A1">
        <w:rPr>
          <w:lang w:val="es-ES"/>
        </w:rPr>
        <w:t>3</w:t>
      </w:r>
      <w:r w:rsidRPr="00867A71">
        <w:rPr>
          <w:lang w:val="es-ES"/>
        </w:rPr>
        <w:t xml:space="preserve">; Hernández-Díaz et al., 2025). </w:t>
      </w:r>
    </w:p>
    <w:p w14:paraId="11A5E339" w14:textId="796B123D" w:rsidR="00867A71" w:rsidRPr="00867A71" w:rsidRDefault="00867A71" w:rsidP="00867A71">
      <w:pPr>
        <w:ind w:right="49"/>
        <w:jc w:val="both"/>
        <w:rPr>
          <w:lang w:val="es-ES"/>
        </w:rPr>
      </w:pPr>
      <w:r w:rsidRPr="00867A71">
        <w:rPr>
          <w:lang w:val="es-ES"/>
        </w:rPr>
        <w:t>En América Latina, y particularmente en Panamá, el primer nivel de atención constituye el punto de entrada más frecuente al sistema de salud, donde se atienden infecciones respiratorias, urinarias y cutáneas que representan más del 60 % de las consultas ambulatorias (PAHO, 202</w:t>
      </w:r>
      <w:r w:rsidR="00BC51B4">
        <w:rPr>
          <w:lang w:val="es-ES"/>
        </w:rPr>
        <w:t>4</w:t>
      </w:r>
      <w:r w:rsidRPr="00867A71">
        <w:rPr>
          <w:lang w:val="es-ES"/>
        </w:rPr>
        <w:t xml:space="preserve">; MINSA Panamá, 2024; OPS-GARDP, 2024; MINSAL Chile, </w:t>
      </w:r>
      <w:r w:rsidRPr="00903DE9">
        <w:rPr>
          <w:lang w:val="es-ES"/>
        </w:rPr>
        <w:t>2023).</w:t>
      </w:r>
    </w:p>
    <w:p w14:paraId="12115866" w14:textId="44A93BAF" w:rsidR="00867A71" w:rsidRDefault="00867A71" w:rsidP="00867A71">
      <w:pPr>
        <w:ind w:right="49"/>
        <w:jc w:val="both"/>
        <w:rPr>
          <w:lang w:val="es-ES"/>
        </w:rPr>
      </w:pPr>
      <w:r w:rsidRPr="00867A71">
        <w:rPr>
          <w:lang w:val="es-ES"/>
        </w:rPr>
        <w:t>La medicina familiar, por su enfoque integral y comunitario, tiene una posición estratégica para abordar la RAM. Sin embargo, prácticas como la prescripción empírica, la automedicación, la presión social por recibir antibióticos y la falta de acceso a pruebas microbiológicas contribuyen a la aparición de cepas resistentes (Rodríguez &amp; Pérez, 2022; Ventola, 20</w:t>
      </w:r>
      <w:r w:rsidR="00AB644C">
        <w:rPr>
          <w:lang w:val="es-ES"/>
        </w:rPr>
        <w:t>14</w:t>
      </w:r>
      <w:r w:rsidRPr="00867A71">
        <w:rPr>
          <w:lang w:val="es-ES"/>
        </w:rPr>
        <w:t xml:space="preserve">; Casas-Navarro et al., 2024; </w:t>
      </w:r>
      <w:r w:rsidR="00722D41" w:rsidRPr="00722D41">
        <w:rPr>
          <w:lang w:val="es-ES"/>
        </w:rPr>
        <w:t xml:space="preserve">Echeverry-Guerrero </w:t>
      </w:r>
      <w:proofErr w:type="spellStart"/>
      <w:r w:rsidR="00722D41">
        <w:rPr>
          <w:lang w:val="es-ES"/>
        </w:rPr>
        <w:t>et.al</w:t>
      </w:r>
      <w:proofErr w:type="spellEnd"/>
      <w:r w:rsidRPr="00867A71">
        <w:rPr>
          <w:lang w:val="es-ES"/>
        </w:rPr>
        <w:t xml:space="preserve">, 2024; </w:t>
      </w:r>
      <w:r w:rsidR="00E2670E" w:rsidRPr="00E2670E">
        <w:rPr>
          <w:lang w:val="es-ES"/>
        </w:rPr>
        <w:t xml:space="preserve">De la Torre-Fiallos </w:t>
      </w:r>
      <w:r w:rsidRPr="00867A71">
        <w:rPr>
          <w:lang w:val="es-ES"/>
        </w:rPr>
        <w:t xml:space="preserve">et al., 2023). </w:t>
      </w:r>
    </w:p>
    <w:p w14:paraId="240AB615" w14:textId="09C284AB" w:rsidR="00867A71" w:rsidRPr="00867A71" w:rsidRDefault="00867A71" w:rsidP="00867A71">
      <w:pPr>
        <w:ind w:right="49"/>
        <w:jc w:val="both"/>
        <w:rPr>
          <w:lang w:val="es-ES"/>
        </w:rPr>
      </w:pPr>
      <w:r w:rsidRPr="00867A71">
        <w:rPr>
          <w:lang w:val="es-ES"/>
        </w:rPr>
        <w:t>Estudios recientes han evidenciado que la RAM en atención primaria está subestimada y poco documentada, lo que limita la capacidad de respuesta del sistema de salud (</w:t>
      </w:r>
      <w:r w:rsidR="00AB6D31">
        <w:rPr>
          <w:lang w:val="es-ES"/>
        </w:rPr>
        <w:t>Hern</w:t>
      </w:r>
      <w:r w:rsidR="00E72BEB" w:rsidRPr="00E72BEB">
        <w:rPr>
          <w:lang w:val="es-ES"/>
        </w:rPr>
        <w:t>á</w:t>
      </w:r>
      <w:r w:rsidR="00AB6D31">
        <w:rPr>
          <w:lang w:val="es-ES"/>
        </w:rPr>
        <w:t>ndez-D</w:t>
      </w:r>
      <w:r w:rsidR="00E72BEB">
        <w:rPr>
          <w:lang w:val="es-ES"/>
        </w:rPr>
        <w:t>í</w:t>
      </w:r>
      <w:r w:rsidR="00AB6D31">
        <w:rPr>
          <w:lang w:val="es-ES"/>
        </w:rPr>
        <w:t>az</w:t>
      </w:r>
      <w:r w:rsidRPr="00867A71">
        <w:rPr>
          <w:lang w:val="es-ES"/>
        </w:rPr>
        <w:t xml:space="preserve"> et al., 2025; Comité Editorial </w:t>
      </w:r>
      <w:proofErr w:type="spellStart"/>
      <w:r w:rsidRPr="00867A71">
        <w:rPr>
          <w:lang w:val="es-ES"/>
        </w:rPr>
        <w:t>Ocronos</w:t>
      </w:r>
      <w:proofErr w:type="spellEnd"/>
      <w:r w:rsidRPr="00867A71">
        <w:rPr>
          <w:lang w:val="es-ES"/>
        </w:rPr>
        <w:t>, 2025; Córdoba, 2022; OMS, 2023).</w:t>
      </w:r>
    </w:p>
    <w:p w14:paraId="40A67FEA" w14:textId="5CB9620B" w:rsidR="00867A71" w:rsidRDefault="00867A71" w:rsidP="00867A71">
      <w:pPr>
        <w:ind w:right="49"/>
        <w:jc w:val="both"/>
        <w:rPr>
          <w:b/>
          <w:bCs/>
          <w:lang w:val="es-ES"/>
        </w:rPr>
      </w:pPr>
      <w:r w:rsidRPr="00867A71">
        <w:rPr>
          <w:lang w:val="es-ES"/>
        </w:rPr>
        <w:t xml:space="preserve">Este estudio se propone evaluar el impacto clínico y epidemiológico de la RAM en el primer nivel de atención en Panamá, identificando patrones de prescripción, prevalencia de cepas resistentes y desenlaces clínicos. La evidencia generada busca fortalecer las estrategias de vigilancia, formación médica continua y diseño de políticas públicas orientadas a la contención de la RAM desde la </w:t>
      </w:r>
      <w:r w:rsidRPr="00867A71">
        <w:rPr>
          <w:lang w:val="es-ES"/>
        </w:rPr>
        <w:lastRenderedPageBreak/>
        <w:t>medicina familiar (Panamá RAM, 2024; OPS, 2024; MINSA, 2024; ASIS Panamá, 2024).</w:t>
      </w:r>
    </w:p>
    <w:p w14:paraId="3BF13032" w14:textId="61D4ED75" w:rsidR="001808A0" w:rsidRPr="00302B0D" w:rsidRDefault="00427D1F">
      <w:pPr>
        <w:ind w:right="49"/>
        <w:jc w:val="both"/>
        <w:rPr>
          <w:b/>
          <w:bCs/>
          <w:lang w:val="es-ES"/>
        </w:rPr>
      </w:pPr>
      <w:r w:rsidRPr="00302B0D">
        <w:rPr>
          <w:b/>
          <w:bCs/>
          <w:lang w:val="es-ES"/>
        </w:rPr>
        <w:t>MATER</w:t>
      </w:r>
      <w:r w:rsidR="0061284C">
        <w:rPr>
          <w:b/>
          <w:bCs/>
          <w:lang w:val="es-ES"/>
        </w:rPr>
        <w:t>IALES Y MÉTODOS</w:t>
      </w:r>
    </w:p>
    <w:bookmarkEnd w:id="0"/>
    <w:p w14:paraId="63D28494" w14:textId="77777777" w:rsidR="00867A71" w:rsidRPr="00867A71" w:rsidRDefault="00867A71" w:rsidP="00867A71">
      <w:pPr>
        <w:spacing w:line="259" w:lineRule="auto"/>
        <w:jc w:val="both"/>
        <w:rPr>
          <w:rFonts w:eastAsia="Calibri"/>
          <w:b/>
          <w:bCs/>
          <w:lang w:val="es-PA" w:eastAsia="en-US"/>
        </w:rPr>
      </w:pPr>
      <w:r w:rsidRPr="00867A71">
        <w:rPr>
          <w:rFonts w:eastAsia="Calibri"/>
          <w:b/>
          <w:bCs/>
          <w:lang w:val="es-PA" w:eastAsia="en-US"/>
        </w:rPr>
        <w:t xml:space="preserve">Diseño del estudio: </w:t>
      </w:r>
      <w:r w:rsidRPr="00867A71">
        <w:rPr>
          <w:rFonts w:eastAsia="Calibri"/>
          <w:lang w:val="es-PA" w:eastAsia="en-US"/>
        </w:rPr>
        <w:t>Se realizó un estudio observacional, transversal y retrospectivo en tres centros de salud públicos de atención primaria ubicados en Panamá. El periodo de análisis comprendió del 1 de enero al 30 de junio de 2025. El estudio fue aprobado por el comité de ética institucional correspondiente y se garantizó la confidencialidad de los datos conforme a las normativas nacionales vigentes.</w:t>
      </w:r>
    </w:p>
    <w:p w14:paraId="1E351B9A" w14:textId="77777777" w:rsidR="00867A71" w:rsidRPr="00867A71" w:rsidRDefault="00867A71" w:rsidP="00867A71">
      <w:pPr>
        <w:spacing w:line="259" w:lineRule="auto"/>
        <w:jc w:val="both"/>
        <w:rPr>
          <w:rFonts w:eastAsia="Calibri"/>
          <w:b/>
          <w:bCs/>
          <w:lang w:val="es-PA" w:eastAsia="en-US"/>
        </w:rPr>
      </w:pPr>
      <w:r w:rsidRPr="00867A71">
        <w:rPr>
          <w:rFonts w:eastAsia="Calibri"/>
          <w:b/>
          <w:bCs/>
          <w:lang w:val="es-PA" w:eastAsia="en-US"/>
        </w:rPr>
        <w:t xml:space="preserve">Población y criterios de inclusión: </w:t>
      </w:r>
      <w:r w:rsidRPr="00867A71">
        <w:rPr>
          <w:rFonts w:eastAsia="Calibri"/>
          <w:lang w:val="es-PA" w:eastAsia="en-US"/>
        </w:rPr>
        <w:t>La muestra estuvo conformada por 300 pacientes adultos (≥18 años) que consultaron por infecciones respiratorias, urinarias o cutáneas en el periodo establecido. Se incluyeron aquellos casos que cumplían con los siguientes criterios:</w:t>
      </w:r>
    </w:p>
    <w:p w14:paraId="7670A3C1" w14:textId="221CAEF4" w:rsidR="00867A71" w:rsidRPr="00450FCF" w:rsidRDefault="00450FCF" w:rsidP="00450FCF">
      <w:pPr>
        <w:jc w:val="both"/>
        <w:rPr>
          <w:rFonts w:eastAsia="Calibri"/>
          <w:lang w:val="es-PA"/>
        </w:rPr>
      </w:pPr>
      <w:r>
        <w:rPr>
          <w:rFonts w:eastAsia="Calibri"/>
          <w:lang w:val="es-PA"/>
        </w:rPr>
        <w:t>-</w:t>
      </w:r>
      <w:r w:rsidR="00867A71" w:rsidRPr="00450FCF">
        <w:rPr>
          <w:rFonts w:eastAsia="Calibri"/>
          <w:lang w:val="es-PA"/>
        </w:rPr>
        <w:t>Diagnóstico clínico confirmado de infección común.</w:t>
      </w:r>
    </w:p>
    <w:p w14:paraId="5A4727E3" w14:textId="4170813C" w:rsidR="00867A71" w:rsidRPr="00867A71" w:rsidRDefault="00450FCF" w:rsidP="00450FCF">
      <w:pPr>
        <w:spacing w:after="160" w:line="259" w:lineRule="auto"/>
        <w:contextualSpacing/>
        <w:jc w:val="both"/>
        <w:rPr>
          <w:rFonts w:eastAsia="Calibri"/>
          <w:lang w:val="es-PA" w:eastAsia="en-US"/>
        </w:rPr>
      </w:pPr>
      <w:r>
        <w:rPr>
          <w:rFonts w:eastAsia="Calibri"/>
          <w:lang w:val="es-PA" w:eastAsia="en-US"/>
        </w:rPr>
        <w:t>-</w:t>
      </w:r>
      <w:r w:rsidR="00867A71" w:rsidRPr="00867A71">
        <w:rPr>
          <w:rFonts w:eastAsia="Calibri"/>
          <w:lang w:val="es-PA" w:eastAsia="en-US"/>
        </w:rPr>
        <w:t>Prescripción de al menos un antimicrobiano registrada en el expediente clínico.</w:t>
      </w:r>
    </w:p>
    <w:p w14:paraId="76D20435" w14:textId="141AB64A" w:rsidR="00867A71" w:rsidRPr="00867A71" w:rsidRDefault="00450FCF" w:rsidP="00450FCF">
      <w:pPr>
        <w:spacing w:after="160" w:line="259" w:lineRule="auto"/>
        <w:contextualSpacing/>
        <w:jc w:val="both"/>
        <w:rPr>
          <w:rFonts w:eastAsia="Calibri"/>
          <w:lang w:val="es-PA" w:eastAsia="en-US"/>
        </w:rPr>
      </w:pPr>
      <w:r>
        <w:rPr>
          <w:rFonts w:eastAsia="Calibri"/>
          <w:lang w:val="es-PA" w:eastAsia="en-US"/>
        </w:rPr>
        <w:t>-</w:t>
      </w:r>
      <w:r w:rsidR="00867A71" w:rsidRPr="00867A71">
        <w:rPr>
          <w:rFonts w:eastAsia="Calibri"/>
          <w:lang w:val="es-PA" w:eastAsia="en-US"/>
        </w:rPr>
        <w:t>Documentación completa del resultado clínico posterior al tratamiento (resolución, recaída o complicación).</w:t>
      </w:r>
    </w:p>
    <w:p w14:paraId="71F84FCD" w14:textId="51AF5908" w:rsidR="00867A71" w:rsidRPr="00867A71" w:rsidRDefault="00450FCF" w:rsidP="00867A71">
      <w:pPr>
        <w:spacing w:line="259" w:lineRule="auto"/>
        <w:jc w:val="both"/>
        <w:rPr>
          <w:rFonts w:eastAsia="Calibri"/>
          <w:lang w:val="es-PA" w:eastAsia="en-US"/>
        </w:rPr>
      </w:pPr>
      <w:r w:rsidRPr="00450FCF">
        <w:rPr>
          <w:rFonts w:eastAsia="Calibri"/>
          <w:lang w:val="es-PA" w:eastAsia="en-US"/>
        </w:rPr>
        <w:t>Como c</w:t>
      </w:r>
      <w:r w:rsidR="00867A71" w:rsidRPr="00450FCF">
        <w:rPr>
          <w:rFonts w:eastAsia="Calibri"/>
          <w:lang w:val="es-PA" w:eastAsia="en-US"/>
        </w:rPr>
        <w:t>riterios de exclusión</w:t>
      </w:r>
      <w:r w:rsidRPr="00450FCF">
        <w:rPr>
          <w:rFonts w:eastAsia="Calibri"/>
          <w:lang w:val="es-PA" w:eastAsia="en-US"/>
        </w:rPr>
        <w:t xml:space="preserve"> se denotan los</w:t>
      </w:r>
      <w:r>
        <w:rPr>
          <w:rFonts w:eastAsia="Calibri"/>
          <w:b/>
          <w:bCs/>
          <w:lang w:val="es-PA" w:eastAsia="en-US"/>
        </w:rPr>
        <w:t xml:space="preserve"> </w:t>
      </w:r>
      <w:r w:rsidR="00867A71" w:rsidRPr="00867A71">
        <w:rPr>
          <w:rFonts w:eastAsia="Calibri"/>
          <w:lang w:val="es-PA" w:eastAsia="en-US"/>
        </w:rPr>
        <w:t>casos con expedientes incompletos, pacientes menores de edad, estudios sin prescripción antimicrobiana registrada, o sin documentación del resultado clínico. También se descartaron infecciones de origen nosocomial o atendidas en niveles superiores de atención.</w:t>
      </w:r>
    </w:p>
    <w:p w14:paraId="5E1A50B3" w14:textId="5C42DF14" w:rsidR="00867A71" w:rsidRPr="00867A71" w:rsidRDefault="00867A71" w:rsidP="00867A71">
      <w:pPr>
        <w:spacing w:line="259" w:lineRule="auto"/>
        <w:jc w:val="both"/>
        <w:rPr>
          <w:rFonts w:eastAsia="Calibri"/>
          <w:b/>
          <w:bCs/>
          <w:lang w:val="es-PA" w:eastAsia="en-US"/>
        </w:rPr>
      </w:pPr>
      <w:r w:rsidRPr="00867A71">
        <w:rPr>
          <w:rFonts w:eastAsia="Calibri"/>
          <w:lang w:val="es-PA" w:eastAsia="en-US"/>
        </w:rPr>
        <w:t>Las variables analizadas se clasificaron en clínicas, terapéuticas y microbiológicas</w:t>
      </w:r>
      <w:r w:rsidR="00450FCF">
        <w:rPr>
          <w:rFonts w:eastAsia="Calibri"/>
          <w:lang w:val="es-PA" w:eastAsia="en-US"/>
        </w:rPr>
        <w:t xml:space="preserve"> a partir de</w:t>
      </w:r>
      <w:r w:rsidRPr="00867A71">
        <w:rPr>
          <w:rFonts w:eastAsia="Calibri"/>
          <w:lang w:val="es-PA" w:eastAsia="en-US"/>
        </w:rPr>
        <w:t>:</w:t>
      </w:r>
    </w:p>
    <w:p w14:paraId="3296CC27" w14:textId="77777777" w:rsidR="00867A71" w:rsidRPr="00867A71" w:rsidRDefault="00867A71" w:rsidP="00867A71">
      <w:pPr>
        <w:numPr>
          <w:ilvl w:val="0"/>
          <w:numId w:val="26"/>
        </w:numPr>
        <w:spacing w:after="160" w:line="259" w:lineRule="auto"/>
        <w:contextualSpacing/>
        <w:jc w:val="both"/>
        <w:rPr>
          <w:rFonts w:eastAsia="Calibri"/>
          <w:lang w:val="es-PA" w:eastAsia="en-US"/>
        </w:rPr>
      </w:pPr>
      <w:r w:rsidRPr="00867A71">
        <w:rPr>
          <w:rFonts w:eastAsia="Calibri"/>
          <w:lang w:val="es-PA" w:eastAsia="en-US"/>
        </w:rPr>
        <w:t>Tipo de infección: respiratoria, urinaria o cutánea.</w:t>
      </w:r>
    </w:p>
    <w:p w14:paraId="5E22C7F0" w14:textId="77777777" w:rsidR="00867A71" w:rsidRPr="00867A71" w:rsidRDefault="00867A71" w:rsidP="00867A71">
      <w:pPr>
        <w:numPr>
          <w:ilvl w:val="0"/>
          <w:numId w:val="26"/>
        </w:numPr>
        <w:spacing w:after="160" w:line="259" w:lineRule="auto"/>
        <w:contextualSpacing/>
        <w:jc w:val="both"/>
        <w:rPr>
          <w:rFonts w:eastAsia="Calibri"/>
          <w:lang w:val="es-PA" w:eastAsia="en-US"/>
        </w:rPr>
      </w:pPr>
      <w:r w:rsidRPr="00867A71">
        <w:rPr>
          <w:rFonts w:eastAsia="Calibri"/>
          <w:lang w:val="es-PA" w:eastAsia="en-US"/>
        </w:rPr>
        <w:t>Antimicrobiano prescrito: nombre, clase farmacológica y vía de administración.</w:t>
      </w:r>
    </w:p>
    <w:p w14:paraId="775D1EDF" w14:textId="77777777" w:rsidR="00867A71" w:rsidRPr="00867A71" w:rsidRDefault="00867A71" w:rsidP="00867A71">
      <w:pPr>
        <w:numPr>
          <w:ilvl w:val="0"/>
          <w:numId w:val="26"/>
        </w:numPr>
        <w:spacing w:after="160" w:line="259" w:lineRule="auto"/>
        <w:contextualSpacing/>
        <w:jc w:val="both"/>
        <w:rPr>
          <w:rFonts w:eastAsia="Calibri"/>
          <w:lang w:val="es-PA" w:eastAsia="en-US"/>
        </w:rPr>
      </w:pPr>
      <w:r w:rsidRPr="00867A71">
        <w:rPr>
          <w:rFonts w:eastAsia="Calibri"/>
          <w:lang w:val="es-PA" w:eastAsia="en-US"/>
        </w:rPr>
        <w:t>Resultado clínico: resolución completa, recaída o aparición de complicaciones.</w:t>
      </w:r>
    </w:p>
    <w:p w14:paraId="4A76454D" w14:textId="77777777" w:rsidR="00867A71" w:rsidRPr="00867A71" w:rsidRDefault="00867A71" w:rsidP="00867A71">
      <w:pPr>
        <w:numPr>
          <w:ilvl w:val="0"/>
          <w:numId w:val="26"/>
        </w:numPr>
        <w:spacing w:after="160" w:line="259" w:lineRule="auto"/>
        <w:contextualSpacing/>
        <w:jc w:val="both"/>
        <w:rPr>
          <w:rFonts w:eastAsia="Calibri"/>
          <w:lang w:val="es-PA" w:eastAsia="en-US"/>
        </w:rPr>
      </w:pPr>
      <w:r w:rsidRPr="00867A71">
        <w:rPr>
          <w:rFonts w:eastAsia="Calibri"/>
          <w:lang w:val="es-PA" w:eastAsia="en-US"/>
        </w:rPr>
        <w:t>Presencia de cepas resistentes: según resultados de antibiograma, cuando estuvieran disponibles.</w:t>
      </w:r>
    </w:p>
    <w:p w14:paraId="364D7137" w14:textId="77777777" w:rsidR="00867A71" w:rsidRDefault="00867A71" w:rsidP="00867A71">
      <w:pPr>
        <w:numPr>
          <w:ilvl w:val="0"/>
          <w:numId w:val="26"/>
        </w:numPr>
        <w:spacing w:after="160" w:line="259" w:lineRule="auto"/>
        <w:contextualSpacing/>
        <w:jc w:val="both"/>
        <w:rPr>
          <w:rFonts w:eastAsia="Calibri"/>
          <w:lang w:val="es-PA" w:eastAsia="en-US"/>
        </w:rPr>
      </w:pPr>
      <w:r w:rsidRPr="00867A71">
        <w:rPr>
          <w:rFonts w:eastAsia="Calibri"/>
          <w:lang w:val="es-PA" w:eastAsia="en-US"/>
        </w:rPr>
        <w:t>Datos sociodemográficos y clínicos: edad, sexo y presencia de comorbilidades relevantes (diabetes, hipertensión, EPOC, entre otras).</w:t>
      </w:r>
    </w:p>
    <w:p w14:paraId="5837996D" w14:textId="77777777" w:rsidR="005D77CA" w:rsidRDefault="00450FCF" w:rsidP="00450FCF">
      <w:pPr>
        <w:spacing w:after="160" w:line="259" w:lineRule="auto"/>
        <w:contextualSpacing/>
        <w:jc w:val="both"/>
        <w:rPr>
          <w:rFonts w:eastAsia="Calibri"/>
          <w:lang w:val="es-PA" w:eastAsia="en-US"/>
        </w:rPr>
      </w:pPr>
      <w:r>
        <w:rPr>
          <w:rFonts w:eastAsia="Calibri"/>
          <w:lang w:val="es-PA" w:eastAsia="en-US"/>
        </w:rPr>
        <w:t>Para realizar los análisis empíricos iniciales se estudiaron variables de estudio y clasificación que permitieron analizar las mismas, el tipo de variable</w:t>
      </w:r>
      <w:r w:rsidR="005D77CA">
        <w:rPr>
          <w:rFonts w:eastAsia="Calibri"/>
          <w:lang w:val="es-PA" w:eastAsia="en-US"/>
        </w:rPr>
        <w:t xml:space="preserve"> y su clasificación, como lo demuestra la Tabla 1.</w:t>
      </w:r>
    </w:p>
    <w:p w14:paraId="426D15EB" w14:textId="77777777" w:rsidR="005D77CA" w:rsidRDefault="005D77CA" w:rsidP="00450FCF">
      <w:pPr>
        <w:spacing w:after="160" w:line="259" w:lineRule="auto"/>
        <w:contextualSpacing/>
        <w:jc w:val="both"/>
        <w:rPr>
          <w:rFonts w:eastAsia="Calibri"/>
          <w:lang w:val="es-PA" w:eastAsia="en-US"/>
        </w:rPr>
      </w:pPr>
    </w:p>
    <w:p w14:paraId="0CD07FC6" w14:textId="77777777" w:rsidR="005D77CA" w:rsidRDefault="00450FCF" w:rsidP="00867A71">
      <w:pPr>
        <w:spacing w:after="160" w:line="259" w:lineRule="auto"/>
        <w:contextualSpacing/>
        <w:jc w:val="both"/>
        <w:rPr>
          <w:rFonts w:eastAsia="Calibri"/>
          <w:lang w:val="es-PA" w:eastAsia="en-US"/>
        </w:rPr>
      </w:pPr>
      <w:r>
        <w:rPr>
          <w:rFonts w:eastAsia="Calibri"/>
          <w:lang w:val="es-PA" w:eastAsia="en-US"/>
        </w:rPr>
        <w:t xml:space="preserve">  </w:t>
      </w:r>
    </w:p>
    <w:p w14:paraId="6A3379C1" w14:textId="77777777" w:rsidR="00553D37" w:rsidRDefault="00867A71" w:rsidP="005D77CA">
      <w:pPr>
        <w:spacing w:after="160" w:line="259" w:lineRule="auto"/>
        <w:ind w:hanging="270"/>
        <w:contextualSpacing/>
        <w:jc w:val="both"/>
        <w:rPr>
          <w:rFonts w:eastAsia="Calibri"/>
          <w:b/>
          <w:bCs/>
          <w:sz w:val="22"/>
          <w:szCs w:val="22"/>
          <w:lang w:val="es-PA" w:eastAsia="en-US"/>
        </w:rPr>
      </w:pPr>
      <w:r w:rsidRPr="005D77CA">
        <w:rPr>
          <w:rFonts w:eastAsia="Calibri"/>
          <w:b/>
          <w:bCs/>
          <w:sz w:val="22"/>
          <w:szCs w:val="22"/>
          <w:lang w:val="es-PA" w:eastAsia="en-US"/>
        </w:rPr>
        <w:t>Tabla 1</w:t>
      </w:r>
    </w:p>
    <w:p w14:paraId="53FD2771" w14:textId="53D2C837" w:rsidR="00867A71" w:rsidRDefault="00867A71" w:rsidP="005D77CA">
      <w:pPr>
        <w:spacing w:after="160" w:line="259" w:lineRule="auto"/>
        <w:ind w:hanging="270"/>
        <w:contextualSpacing/>
        <w:jc w:val="both"/>
        <w:rPr>
          <w:rFonts w:eastAsia="Calibri"/>
          <w:i/>
          <w:iCs/>
          <w:sz w:val="22"/>
          <w:szCs w:val="22"/>
          <w:lang w:val="es-PA" w:eastAsia="en-US"/>
        </w:rPr>
      </w:pPr>
      <w:r w:rsidRPr="00553D37">
        <w:rPr>
          <w:rFonts w:eastAsia="Calibri"/>
          <w:i/>
          <w:iCs/>
          <w:sz w:val="22"/>
          <w:szCs w:val="22"/>
          <w:lang w:val="es-PA" w:eastAsia="en-US"/>
        </w:rPr>
        <w:t xml:space="preserve">Variables del estudio y su clasificación </w:t>
      </w:r>
    </w:p>
    <w:p w14:paraId="0AC9BD56" w14:textId="77777777" w:rsidR="005F40A9" w:rsidRPr="00553D37" w:rsidRDefault="005F40A9" w:rsidP="005D77CA">
      <w:pPr>
        <w:spacing w:after="160" w:line="259" w:lineRule="auto"/>
        <w:ind w:hanging="270"/>
        <w:contextualSpacing/>
        <w:jc w:val="both"/>
        <w:rPr>
          <w:rFonts w:eastAsia="Calibri"/>
          <w:i/>
          <w:iCs/>
          <w:lang w:val="es-PA" w:eastAsia="en-US"/>
        </w:rPr>
      </w:pPr>
    </w:p>
    <w:tbl>
      <w:tblPr>
        <w:tblStyle w:val="Tablaconcuadrcula"/>
        <w:tblW w:w="657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2340"/>
        <w:gridCol w:w="1890"/>
      </w:tblGrid>
      <w:tr w:rsidR="00867A71" w:rsidRPr="00867A71" w14:paraId="270D4E0F" w14:textId="77777777" w:rsidTr="00C56F97">
        <w:tc>
          <w:tcPr>
            <w:tcW w:w="2340" w:type="dxa"/>
            <w:tcBorders>
              <w:top w:val="single" w:sz="4" w:space="0" w:color="auto"/>
              <w:bottom w:val="single" w:sz="4" w:space="0" w:color="auto"/>
            </w:tcBorders>
          </w:tcPr>
          <w:p w14:paraId="31DEF970" w14:textId="77777777" w:rsidR="00867A71" w:rsidRPr="00867A71" w:rsidRDefault="00867A71" w:rsidP="00867A71">
            <w:pPr>
              <w:jc w:val="center"/>
              <w:rPr>
                <w:rFonts w:eastAsia="Calibri"/>
                <w:b/>
                <w:bCs/>
                <w:lang w:val="es-PA" w:eastAsia="en-US"/>
              </w:rPr>
            </w:pPr>
            <w:r w:rsidRPr="00867A71">
              <w:rPr>
                <w:rFonts w:eastAsia="Calibri"/>
                <w:b/>
                <w:bCs/>
                <w:lang w:val="es-PA" w:eastAsia="en-US"/>
              </w:rPr>
              <w:t>Variable</w:t>
            </w:r>
          </w:p>
        </w:tc>
        <w:tc>
          <w:tcPr>
            <w:tcW w:w="2340" w:type="dxa"/>
            <w:tcBorders>
              <w:top w:val="single" w:sz="4" w:space="0" w:color="auto"/>
              <w:bottom w:val="single" w:sz="4" w:space="0" w:color="auto"/>
            </w:tcBorders>
          </w:tcPr>
          <w:p w14:paraId="5213F9EE" w14:textId="77777777" w:rsidR="00867A71" w:rsidRPr="00867A71" w:rsidRDefault="00867A71" w:rsidP="00867A71">
            <w:pPr>
              <w:jc w:val="center"/>
              <w:rPr>
                <w:rFonts w:eastAsia="Calibri"/>
                <w:b/>
                <w:bCs/>
                <w:lang w:val="es-PA" w:eastAsia="en-US"/>
              </w:rPr>
            </w:pPr>
            <w:r w:rsidRPr="00867A71">
              <w:rPr>
                <w:rFonts w:eastAsia="Calibri"/>
                <w:b/>
                <w:bCs/>
                <w:lang w:val="es-PA" w:eastAsia="en-US"/>
              </w:rPr>
              <w:t>Tipo</w:t>
            </w:r>
          </w:p>
        </w:tc>
        <w:tc>
          <w:tcPr>
            <w:tcW w:w="1890" w:type="dxa"/>
            <w:tcBorders>
              <w:top w:val="single" w:sz="4" w:space="0" w:color="auto"/>
              <w:bottom w:val="single" w:sz="4" w:space="0" w:color="auto"/>
            </w:tcBorders>
          </w:tcPr>
          <w:p w14:paraId="6367FACC" w14:textId="77777777" w:rsidR="00867A71" w:rsidRPr="00867A71" w:rsidRDefault="00867A71" w:rsidP="00867A71">
            <w:pPr>
              <w:jc w:val="center"/>
              <w:rPr>
                <w:rFonts w:eastAsia="Calibri"/>
                <w:b/>
                <w:bCs/>
                <w:lang w:val="es-PA" w:eastAsia="en-US"/>
              </w:rPr>
            </w:pPr>
            <w:r w:rsidRPr="00867A71">
              <w:rPr>
                <w:rFonts w:eastAsia="Calibri"/>
                <w:b/>
                <w:bCs/>
                <w:lang w:val="es-PA" w:eastAsia="en-US"/>
              </w:rPr>
              <w:t>Descripción</w:t>
            </w:r>
          </w:p>
        </w:tc>
      </w:tr>
      <w:tr w:rsidR="00867A71" w:rsidRPr="00867A71" w14:paraId="6705876B" w14:textId="77777777" w:rsidTr="00C56F97">
        <w:tc>
          <w:tcPr>
            <w:tcW w:w="2340" w:type="dxa"/>
            <w:tcBorders>
              <w:top w:val="single" w:sz="4" w:space="0" w:color="auto"/>
            </w:tcBorders>
          </w:tcPr>
          <w:p w14:paraId="44786925" w14:textId="77777777" w:rsidR="00867A71" w:rsidRPr="00867A71" w:rsidRDefault="00867A71" w:rsidP="00553D37">
            <w:pPr>
              <w:jc w:val="center"/>
              <w:rPr>
                <w:rFonts w:eastAsia="Calibri"/>
                <w:lang w:val="es-PA" w:eastAsia="en-US"/>
              </w:rPr>
            </w:pPr>
            <w:r w:rsidRPr="00867A71">
              <w:rPr>
                <w:rFonts w:eastAsia="Calibri"/>
                <w:lang w:val="es-PA" w:eastAsia="en-US"/>
              </w:rPr>
              <w:t>Edad</w:t>
            </w:r>
          </w:p>
        </w:tc>
        <w:tc>
          <w:tcPr>
            <w:tcW w:w="2340" w:type="dxa"/>
            <w:tcBorders>
              <w:top w:val="single" w:sz="4" w:space="0" w:color="auto"/>
            </w:tcBorders>
          </w:tcPr>
          <w:p w14:paraId="5A668628" w14:textId="77777777" w:rsidR="00867A71" w:rsidRPr="00867A71" w:rsidRDefault="00867A71" w:rsidP="00553D37">
            <w:pPr>
              <w:jc w:val="center"/>
              <w:rPr>
                <w:rFonts w:eastAsia="Calibri"/>
                <w:lang w:val="es-PA" w:eastAsia="en-US"/>
              </w:rPr>
            </w:pPr>
            <w:r w:rsidRPr="00867A71">
              <w:rPr>
                <w:rFonts w:eastAsia="Calibri"/>
                <w:lang w:val="es-PA" w:eastAsia="en-US"/>
              </w:rPr>
              <w:t>Cuantitativa continua</w:t>
            </w:r>
          </w:p>
        </w:tc>
        <w:tc>
          <w:tcPr>
            <w:tcW w:w="1890" w:type="dxa"/>
            <w:tcBorders>
              <w:top w:val="single" w:sz="4" w:space="0" w:color="auto"/>
            </w:tcBorders>
          </w:tcPr>
          <w:p w14:paraId="2A35A4F1" w14:textId="77777777" w:rsidR="00867A71" w:rsidRPr="00867A71" w:rsidRDefault="00867A71" w:rsidP="00553D37">
            <w:pPr>
              <w:jc w:val="center"/>
              <w:rPr>
                <w:rFonts w:eastAsia="Calibri"/>
                <w:lang w:val="es-PA" w:eastAsia="en-US"/>
              </w:rPr>
            </w:pPr>
            <w:r w:rsidRPr="00867A71">
              <w:rPr>
                <w:rFonts w:eastAsia="Calibri"/>
                <w:lang w:val="es-PA" w:eastAsia="en-US"/>
              </w:rPr>
              <w:t>Edad del paciente en años</w:t>
            </w:r>
          </w:p>
        </w:tc>
      </w:tr>
      <w:tr w:rsidR="00867A71" w:rsidRPr="00867A71" w14:paraId="1623C0DC" w14:textId="77777777" w:rsidTr="00C56F97">
        <w:tc>
          <w:tcPr>
            <w:tcW w:w="2340" w:type="dxa"/>
          </w:tcPr>
          <w:p w14:paraId="5A28F3DA" w14:textId="77777777" w:rsidR="00867A71" w:rsidRPr="00867A71" w:rsidRDefault="00867A71" w:rsidP="00553D37">
            <w:pPr>
              <w:jc w:val="center"/>
              <w:rPr>
                <w:rFonts w:eastAsia="Calibri"/>
                <w:lang w:val="es-PA" w:eastAsia="en-US"/>
              </w:rPr>
            </w:pPr>
            <w:r w:rsidRPr="00867A71">
              <w:rPr>
                <w:rFonts w:eastAsia="Calibri"/>
                <w:lang w:val="es-PA" w:eastAsia="en-US"/>
              </w:rPr>
              <w:t>Sexo</w:t>
            </w:r>
          </w:p>
        </w:tc>
        <w:tc>
          <w:tcPr>
            <w:tcW w:w="2340" w:type="dxa"/>
          </w:tcPr>
          <w:p w14:paraId="701FE62F" w14:textId="77777777" w:rsidR="00867A71" w:rsidRPr="00867A71" w:rsidRDefault="00867A71" w:rsidP="00553D37">
            <w:pPr>
              <w:jc w:val="center"/>
              <w:rPr>
                <w:rFonts w:eastAsia="Calibri"/>
                <w:lang w:val="es-PA" w:eastAsia="en-US"/>
              </w:rPr>
            </w:pPr>
            <w:r w:rsidRPr="00867A71">
              <w:rPr>
                <w:rFonts w:eastAsia="Calibri"/>
                <w:lang w:val="es-PA" w:eastAsia="en-US"/>
              </w:rPr>
              <w:t>Cualitativa nominal</w:t>
            </w:r>
          </w:p>
        </w:tc>
        <w:tc>
          <w:tcPr>
            <w:tcW w:w="1890" w:type="dxa"/>
          </w:tcPr>
          <w:p w14:paraId="12CE79CF" w14:textId="77777777" w:rsidR="00867A71" w:rsidRPr="00867A71" w:rsidRDefault="00867A71" w:rsidP="00553D37">
            <w:pPr>
              <w:jc w:val="center"/>
              <w:rPr>
                <w:rFonts w:eastAsia="Calibri"/>
                <w:lang w:val="es-PA" w:eastAsia="en-US"/>
              </w:rPr>
            </w:pPr>
            <w:r w:rsidRPr="00867A71">
              <w:rPr>
                <w:rFonts w:eastAsia="Calibri"/>
                <w:lang w:val="es-PA" w:eastAsia="en-US"/>
              </w:rPr>
              <w:t>Masculino / Femenino</w:t>
            </w:r>
          </w:p>
        </w:tc>
      </w:tr>
      <w:tr w:rsidR="00867A71" w:rsidRPr="00867A71" w14:paraId="734FF244" w14:textId="77777777" w:rsidTr="00C56F97">
        <w:tc>
          <w:tcPr>
            <w:tcW w:w="2340" w:type="dxa"/>
          </w:tcPr>
          <w:p w14:paraId="74AA7669" w14:textId="77777777" w:rsidR="00867A71" w:rsidRPr="00867A71" w:rsidRDefault="00867A71" w:rsidP="00553D37">
            <w:pPr>
              <w:jc w:val="center"/>
              <w:rPr>
                <w:rFonts w:eastAsia="Calibri"/>
                <w:lang w:val="es-PA" w:eastAsia="en-US"/>
              </w:rPr>
            </w:pPr>
            <w:r w:rsidRPr="00867A71">
              <w:rPr>
                <w:rFonts w:eastAsia="Calibri"/>
                <w:lang w:val="es-PA" w:eastAsia="en-US"/>
              </w:rPr>
              <w:t>Tipo de infección</w:t>
            </w:r>
          </w:p>
        </w:tc>
        <w:tc>
          <w:tcPr>
            <w:tcW w:w="2340" w:type="dxa"/>
          </w:tcPr>
          <w:p w14:paraId="4A8D86B7" w14:textId="77777777" w:rsidR="00867A71" w:rsidRPr="00867A71" w:rsidRDefault="00867A71" w:rsidP="00553D37">
            <w:pPr>
              <w:jc w:val="center"/>
              <w:rPr>
                <w:rFonts w:eastAsia="Calibri"/>
                <w:lang w:val="es-PA" w:eastAsia="en-US"/>
              </w:rPr>
            </w:pPr>
            <w:r w:rsidRPr="00867A71">
              <w:rPr>
                <w:rFonts w:eastAsia="Calibri"/>
                <w:lang w:val="es-PA" w:eastAsia="en-US"/>
              </w:rPr>
              <w:t>Cualitativa nominal</w:t>
            </w:r>
          </w:p>
        </w:tc>
        <w:tc>
          <w:tcPr>
            <w:tcW w:w="1890" w:type="dxa"/>
          </w:tcPr>
          <w:p w14:paraId="3275FBF7" w14:textId="77777777" w:rsidR="00867A71" w:rsidRPr="00867A71" w:rsidRDefault="00867A71" w:rsidP="00553D37">
            <w:pPr>
              <w:jc w:val="center"/>
              <w:rPr>
                <w:rFonts w:eastAsia="Calibri"/>
                <w:lang w:val="es-PA" w:eastAsia="en-US"/>
              </w:rPr>
            </w:pPr>
            <w:r w:rsidRPr="00867A71">
              <w:rPr>
                <w:rFonts w:eastAsia="Calibri"/>
                <w:lang w:val="es-PA" w:eastAsia="en-US"/>
              </w:rPr>
              <w:t>Respiratoria, urinaria, cutánea</w:t>
            </w:r>
          </w:p>
        </w:tc>
      </w:tr>
      <w:tr w:rsidR="00867A71" w:rsidRPr="00867A71" w14:paraId="5CBC6F44" w14:textId="77777777" w:rsidTr="00C56F97">
        <w:tc>
          <w:tcPr>
            <w:tcW w:w="2340" w:type="dxa"/>
          </w:tcPr>
          <w:p w14:paraId="5D0E1C1A" w14:textId="77777777" w:rsidR="00867A71" w:rsidRPr="00867A71" w:rsidRDefault="00867A71" w:rsidP="00553D37">
            <w:pPr>
              <w:jc w:val="center"/>
              <w:rPr>
                <w:rFonts w:eastAsia="Calibri"/>
                <w:lang w:val="es-PA" w:eastAsia="en-US"/>
              </w:rPr>
            </w:pPr>
            <w:r w:rsidRPr="00867A71">
              <w:rPr>
                <w:rFonts w:eastAsia="Calibri"/>
                <w:lang w:val="es-PA" w:eastAsia="en-US"/>
              </w:rPr>
              <w:t>Antimicrobiano prescrito</w:t>
            </w:r>
          </w:p>
        </w:tc>
        <w:tc>
          <w:tcPr>
            <w:tcW w:w="2340" w:type="dxa"/>
          </w:tcPr>
          <w:p w14:paraId="015905F7" w14:textId="77777777" w:rsidR="00867A71" w:rsidRPr="00867A71" w:rsidRDefault="00867A71" w:rsidP="00553D37">
            <w:pPr>
              <w:jc w:val="center"/>
              <w:rPr>
                <w:rFonts w:eastAsia="Calibri"/>
                <w:lang w:val="es-PA" w:eastAsia="en-US"/>
              </w:rPr>
            </w:pPr>
            <w:r w:rsidRPr="00867A71">
              <w:rPr>
                <w:rFonts w:eastAsia="Calibri"/>
                <w:lang w:val="es-PA" w:eastAsia="en-US"/>
              </w:rPr>
              <w:t>Cualitativa nominal</w:t>
            </w:r>
          </w:p>
        </w:tc>
        <w:tc>
          <w:tcPr>
            <w:tcW w:w="1890" w:type="dxa"/>
          </w:tcPr>
          <w:p w14:paraId="4F467327" w14:textId="77777777" w:rsidR="00867A71" w:rsidRPr="00867A71" w:rsidRDefault="00867A71" w:rsidP="00553D37">
            <w:pPr>
              <w:jc w:val="center"/>
              <w:rPr>
                <w:rFonts w:eastAsia="Calibri"/>
                <w:lang w:val="es-PA" w:eastAsia="en-US"/>
              </w:rPr>
            </w:pPr>
            <w:r w:rsidRPr="00867A71">
              <w:rPr>
                <w:rFonts w:eastAsia="Calibri"/>
                <w:lang w:val="es-PA" w:eastAsia="en-US"/>
              </w:rPr>
              <w:t>Nombre y clase del fármaco</w:t>
            </w:r>
          </w:p>
        </w:tc>
      </w:tr>
      <w:tr w:rsidR="00867A71" w:rsidRPr="00867A71" w14:paraId="17117863" w14:textId="77777777" w:rsidTr="00C56F97">
        <w:tc>
          <w:tcPr>
            <w:tcW w:w="2340" w:type="dxa"/>
          </w:tcPr>
          <w:p w14:paraId="44056FAD" w14:textId="77777777" w:rsidR="00867A71" w:rsidRPr="00867A71" w:rsidRDefault="00867A71" w:rsidP="00553D37">
            <w:pPr>
              <w:jc w:val="center"/>
              <w:rPr>
                <w:rFonts w:eastAsia="Calibri"/>
                <w:lang w:val="es-PA" w:eastAsia="en-US"/>
              </w:rPr>
            </w:pPr>
            <w:r w:rsidRPr="00867A71">
              <w:rPr>
                <w:rFonts w:eastAsia="Calibri"/>
                <w:lang w:val="es-PA" w:eastAsia="en-US"/>
              </w:rPr>
              <w:t>Resultado clínico</w:t>
            </w:r>
          </w:p>
        </w:tc>
        <w:tc>
          <w:tcPr>
            <w:tcW w:w="2340" w:type="dxa"/>
          </w:tcPr>
          <w:p w14:paraId="1F9A0FE0" w14:textId="77777777" w:rsidR="00867A71" w:rsidRPr="00867A71" w:rsidRDefault="00867A71" w:rsidP="00553D37">
            <w:pPr>
              <w:jc w:val="center"/>
              <w:rPr>
                <w:rFonts w:eastAsia="Calibri"/>
                <w:lang w:val="es-PA" w:eastAsia="en-US"/>
              </w:rPr>
            </w:pPr>
            <w:r w:rsidRPr="00867A71">
              <w:rPr>
                <w:rFonts w:eastAsia="Calibri"/>
                <w:lang w:val="es-PA" w:eastAsia="en-US"/>
              </w:rPr>
              <w:t>Cualitativa ordinal</w:t>
            </w:r>
          </w:p>
        </w:tc>
        <w:tc>
          <w:tcPr>
            <w:tcW w:w="1890" w:type="dxa"/>
          </w:tcPr>
          <w:p w14:paraId="745FB78C" w14:textId="77777777" w:rsidR="00867A71" w:rsidRPr="00867A71" w:rsidRDefault="00867A71" w:rsidP="00553D37">
            <w:pPr>
              <w:jc w:val="center"/>
              <w:rPr>
                <w:rFonts w:eastAsia="Calibri"/>
                <w:lang w:val="es-PA" w:eastAsia="en-US"/>
              </w:rPr>
            </w:pPr>
            <w:r w:rsidRPr="00867A71">
              <w:rPr>
                <w:rFonts w:eastAsia="Calibri"/>
                <w:lang w:val="es-PA" w:eastAsia="en-US"/>
              </w:rPr>
              <w:t>Resolución, recaída, complicación</w:t>
            </w:r>
          </w:p>
        </w:tc>
      </w:tr>
      <w:tr w:rsidR="00867A71" w:rsidRPr="00867A71" w14:paraId="1A28D69B" w14:textId="77777777" w:rsidTr="00C56F97">
        <w:tc>
          <w:tcPr>
            <w:tcW w:w="2340" w:type="dxa"/>
          </w:tcPr>
          <w:p w14:paraId="144431A1" w14:textId="77777777" w:rsidR="00867A71" w:rsidRPr="00867A71" w:rsidRDefault="00867A71" w:rsidP="00553D37">
            <w:pPr>
              <w:jc w:val="center"/>
              <w:rPr>
                <w:rFonts w:eastAsia="Calibri"/>
                <w:lang w:val="es-PA" w:eastAsia="en-US"/>
              </w:rPr>
            </w:pPr>
            <w:r w:rsidRPr="00867A71">
              <w:rPr>
                <w:rFonts w:eastAsia="Calibri"/>
                <w:lang w:val="es-PA" w:eastAsia="en-US"/>
              </w:rPr>
              <w:t>Presencia de resistencia</w:t>
            </w:r>
          </w:p>
        </w:tc>
        <w:tc>
          <w:tcPr>
            <w:tcW w:w="2340" w:type="dxa"/>
          </w:tcPr>
          <w:p w14:paraId="1730A1CB" w14:textId="77777777" w:rsidR="00867A71" w:rsidRPr="00867A71" w:rsidRDefault="00867A71" w:rsidP="00553D37">
            <w:pPr>
              <w:jc w:val="center"/>
              <w:rPr>
                <w:rFonts w:eastAsia="Calibri"/>
                <w:lang w:val="es-PA" w:eastAsia="en-US"/>
              </w:rPr>
            </w:pPr>
            <w:r w:rsidRPr="00867A71">
              <w:rPr>
                <w:rFonts w:eastAsia="Calibri"/>
                <w:lang w:val="es-PA" w:eastAsia="en-US"/>
              </w:rPr>
              <w:t>Cualitativa dicotómica</w:t>
            </w:r>
          </w:p>
        </w:tc>
        <w:tc>
          <w:tcPr>
            <w:tcW w:w="1890" w:type="dxa"/>
          </w:tcPr>
          <w:p w14:paraId="3FBB93FB" w14:textId="77777777" w:rsidR="00867A71" w:rsidRPr="00867A71" w:rsidRDefault="00867A71" w:rsidP="00553D37">
            <w:pPr>
              <w:jc w:val="center"/>
              <w:rPr>
                <w:rFonts w:eastAsia="Calibri"/>
                <w:lang w:val="es-PA" w:eastAsia="en-US"/>
              </w:rPr>
            </w:pPr>
            <w:r w:rsidRPr="00867A71">
              <w:rPr>
                <w:rFonts w:eastAsia="Calibri"/>
                <w:lang w:val="es-PA" w:eastAsia="en-US"/>
              </w:rPr>
              <w:t>Sí / No (según antibiograma)</w:t>
            </w:r>
          </w:p>
        </w:tc>
      </w:tr>
      <w:tr w:rsidR="00867A71" w:rsidRPr="00867A71" w14:paraId="3092B211" w14:textId="77777777" w:rsidTr="00C56F97">
        <w:tc>
          <w:tcPr>
            <w:tcW w:w="2340" w:type="dxa"/>
            <w:tcBorders>
              <w:bottom w:val="single" w:sz="4" w:space="0" w:color="auto"/>
            </w:tcBorders>
          </w:tcPr>
          <w:p w14:paraId="2BBDCAA8" w14:textId="77777777" w:rsidR="00867A71" w:rsidRPr="00867A71" w:rsidRDefault="00867A71" w:rsidP="00553D37">
            <w:pPr>
              <w:jc w:val="center"/>
              <w:rPr>
                <w:rFonts w:eastAsia="Calibri"/>
                <w:lang w:val="es-PA" w:eastAsia="en-US"/>
              </w:rPr>
            </w:pPr>
            <w:r w:rsidRPr="00867A71">
              <w:rPr>
                <w:rFonts w:eastAsia="Calibri"/>
                <w:lang w:val="es-PA" w:eastAsia="en-US"/>
              </w:rPr>
              <w:t>Prescripción empírica</w:t>
            </w:r>
          </w:p>
        </w:tc>
        <w:tc>
          <w:tcPr>
            <w:tcW w:w="2340" w:type="dxa"/>
            <w:tcBorders>
              <w:bottom w:val="single" w:sz="4" w:space="0" w:color="auto"/>
            </w:tcBorders>
          </w:tcPr>
          <w:p w14:paraId="2B145A69" w14:textId="77777777" w:rsidR="00867A71" w:rsidRPr="00867A71" w:rsidRDefault="00867A71" w:rsidP="00553D37">
            <w:pPr>
              <w:jc w:val="center"/>
              <w:rPr>
                <w:rFonts w:eastAsia="Calibri"/>
                <w:lang w:val="es-PA" w:eastAsia="en-US"/>
              </w:rPr>
            </w:pPr>
            <w:r w:rsidRPr="00867A71">
              <w:rPr>
                <w:rFonts w:eastAsia="Calibri"/>
                <w:lang w:val="es-PA" w:eastAsia="en-US"/>
              </w:rPr>
              <w:t>Cualitativa dicotómica</w:t>
            </w:r>
          </w:p>
        </w:tc>
        <w:tc>
          <w:tcPr>
            <w:tcW w:w="1890" w:type="dxa"/>
            <w:tcBorders>
              <w:bottom w:val="single" w:sz="4" w:space="0" w:color="auto"/>
            </w:tcBorders>
          </w:tcPr>
          <w:p w14:paraId="46DD3DA5" w14:textId="77777777" w:rsidR="00867A71" w:rsidRPr="00867A71" w:rsidRDefault="00867A71" w:rsidP="00553D37">
            <w:pPr>
              <w:jc w:val="center"/>
              <w:rPr>
                <w:rFonts w:eastAsia="Calibri"/>
                <w:lang w:val="es-PA" w:eastAsia="en-US"/>
              </w:rPr>
            </w:pPr>
            <w:r w:rsidRPr="00867A71">
              <w:rPr>
                <w:rFonts w:eastAsia="Calibri"/>
                <w:lang w:val="es-PA" w:eastAsia="en-US"/>
              </w:rPr>
              <w:t>Sí / No</w:t>
            </w:r>
          </w:p>
        </w:tc>
      </w:tr>
    </w:tbl>
    <w:p w14:paraId="3EAB1A69" w14:textId="094DB1B1" w:rsidR="00867A71" w:rsidRPr="005D77CA" w:rsidRDefault="00DD1E50" w:rsidP="00867A71">
      <w:pPr>
        <w:spacing w:after="160" w:line="259" w:lineRule="auto"/>
        <w:ind w:hanging="540"/>
        <w:jc w:val="both"/>
        <w:rPr>
          <w:rFonts w:eastAsia="Calibri"/>
          <w:sz w:val="16"/>
          <w:szCs w:val="16"/>
          <w:lang w:val="es-PA" w:eastAsia="en-US"/>
        </w:rPr>
      </w:pPr>
      <w:r>
        <w:rPr>
          <w:rFonts w:eastAsia="Calibri"/>
          <w:lang w:val="es-PA" w:eastAsia="en-US"/>
        </w:rPr>
        <w:t xml:space="preserve">    </w:t>
      </w:r>
      <w:r w:rsidR="00867A71">
        <w:rPr>
          <w:rFonts w:eastAsia="Calibri"/>
          <w:lang w:val="es-PA" w:eastAsia="en-US"/>
        </w:rPr>
        <w:t xml:space="preserve">     </w:t>
      </w:r>
      <w:r w:rsidR="00867A71" w:rsidRPr="005D77CA">
        <w:rPr>
          <w:rFonts w:eastAsia="Calibri"/>
          <w:sz w:val="16"/>
          <w:szCs w:val="16"/>
          <w:lang w:val="es-PA" w:eastAsia="en-US"/>
        </w:rPr>
        <w:t>Fuente: Elaboración propia con base en guías clínicas 2020–2025.</w:t>
      </w:r>
    </w:p>
    <w:p w14:paraId="5AE5A5BA" w14:textId="77777777" w:rsidR="00DD1E50" w:rsidRDefault="005D77CA" w:rsidP="00DD1E50">
      <w:pPr>
        <w:spacing w:after="160" w:line="259" w:lineRule="auto"/>
        <w:jc w:val="both"/>
        <w:rPr>
          <w:rFonts w:eastAsia="Calibri"/>
          <w:lang w:val="es-PA" w:eastAsia="en-US"/>
        </w:rPr>
      </w:pPr>
      <w:r w:rsidRPr="005D77CA">
        <w:rPr>
          <w:rFonts w:eastAsia="Calibri"/>
          <w:lang w:val="es-PA" w:eastAsia="en-US"/>
        </w:rPr>
        <w:t>En cuanto a la c</w:t>
      </w:r>
      <w:r w:rsidR="00867A71" w:rsidRPr="005D77CA">
        <w:rPr>
          <w:rFonts w:eastAsia="Calibri"/>
          <w:lang w:val="es-PA" w:eastAsia="en-US"/>
        </w:rPr>
        <w:t>lasificación de antibióticos analizados</w:t>
      </w:r>
      <w:r w:rsidRPr="005D77CA">
        <w:rPr>
          <w:rFonts w:eastAsia="Calibri"/>
          <w:lang w:val="es-PA" w:eastAsia="en-US"/>
        </w:rPr>
        <w:t xml:space="preserve"> se</w:t>
      </w:r>
      <w:r w:rsidR="00867A71" w:rsidRPr="00867A71">
        <w:rPr>
          <w:rFonts w:eastAsia="Calibri"/>
          <w:lang w:val="es-PA" w:eastAsia="en-US"/>
        </w:rPr>
        <w:t xml:space="preserve"> identificaron los antibióticos más prescritos en los centros de atención primaria incluidos en el estudio. La Tabla 2 resume los fármacos más utilizados, su clase farmacológica y el tipo de infección para el que fueron comúnmente indicados.</w:t>
      </w:r>
      <w:r w:rsidRPr="005D77CA">
        <w:t xml:space="preserve"> </w:t>
      </w:r>
      <w:r>
        <w:t>La t</w:t>
      </w:r>
      <w:proofErr w:type="spellStart"/>
      <w:r w:rsidRPr="005D77CA">
        <w:rPr>
          <w:rFonts w:eastAsia="Calibri"/>
          <w:lang w:val="es-PA" w:eastAsia="en-US"/>
        </w:rPr>
        <w:t>abla</w:t>
      </w:r>
      <w:proofErr w:type="spellEnd"/>
      <w:r w:rsidRPr="005D77CA">
        <w:rPr>
          <w:rFonts w:eastAsia="Calibri"/>
          <w:lang w:val="es-PA" w:eastAsia="en-US"/>
        </w:rPr>
        <w:t xml:space="preserve"> 2</w:t>
      </w:r>
      <w:r>
        <w:rPr>
          <w:rFonts w:eastAsia="Calibri"/>
          <w:lang w:val="es-PA" w:eastAsia="en-US"/>
        </w:rPr>
        <w:t xml:space="preserve"> expresan los a</w:t>
      </w:r>
      <w:r w:rsidRPr="005D77CA">
        <w:rPr>
          <w:rFonts w:eastAsia="Calibri"/>
          <w:lang w:val="es-PA" w:eastAsia="en-US"/>
        </w:rPr>
        <w:t>ntibióticos más utilizados en atención primaria</w:t>
      </w:r>
      <w:r>
        <w:rPr>
          <w:rFonts w:eastAsia="Calibri"/>
          <w:lang w:val="es-PA" w:eastAsia="en-US"/>
        </w:rPr>
        <w:t xml:space="preserve"> en cuanto a su </w:t>
      </w:r>
      <w:r w:rsidRPr="005D77CA">
        <w:rPr>
          <w:rFonts w:eastAsia="Calibri"/>
          <w:lang w:val="es-PA" w:eastAsia="en-US"/>
        </w:rPr>
        <w:t>clase, presentación y dosis</w:t>
      </w:r>
      <w:r>
        <w:rPr>
          <w:rFonts w:eastAsia="Calibri"/>
          <w:lang w:val="es-PA" w:eastAsia="en-US"/>
        </w:rPr>
        <w:t xml:space="preserve"> utilizadas</w:t>
      </w:r>
      <w:r w:rsidRPr="005D77CA">
        <w:rPr>
          <w:rFonts w:eastAsia="Calibri"/>
          <w:lang w:val="es-PA" w:eastAsia="en-US"/>
        </w:rPr>
        <w:t>.</w:t>
      </w:r>
    </w:p>
    <w:p w14:paraId="495EDEC6" w14:textId="77777777" w:rsidR="00974EA8" w:rsidRDefault="00867A71" w:rsidP="00DD1E50">
      <w:pPr>
        <w:spacing w:after="160" w:line="259" w:lineRule="auto"/>
        <w:jc w:val="both"/>
        <w:rPr>
          <w:rFonts w:eastAsia="Calibri"/>
          <w:b/>
          <w:bCs/>
          <w:sz w:val="22"/>
          <w:szCs w:val="22"/>
          <w:lang w:val="es-PA" w:eastAsia="en-US"/>
        </w:rPr>
      </w:pPr>
      <w:r w:rsidRPr="005D77CA">
        <w:rPr>
          <w:rFonts w:eastAsia="Calibri"/>
          <w:b/>
          <w:bCs/>
          <w:sz w:val="22"/>
          <w:szCs w:val="22"/>
          <w:lang w:val="es-PA" w:eastAsia="en-US"/>
        </w:rPr>
        <w:t>Tabla 2</w:t>
      </w:r>
    </w:p>
    <w:p w14:paraId="1FC61A03" w14:textId="4330FCCB" w:rsidR="00867A71" w:rsidRDefault="00DD1E50" w:rsidP="00DD1E50">
      <w:pPr>
        <w:spacing w:after="160" w:line="259" w:lineRule="auto"/>
        <w:jc w:val="both"/>
        <w:rPr>
          <w:rFonts w:eastAsia="Calibri"/>
          <w:i/>
          <w:iCs/>
          <w:sz w:val="22"/>
          <w:szCs w:val="22"/>
          <w:lang w:val="es-PA" w:eastAsia="en-US"/>
        </w:rPr>
      </w:pPr>
      <w:r>
        <w:rPr>
          <w:rFonts w:eastAsia="Calibri"/>
          <w:b/>
          <w:bCs/>
          <w:sz w:val="22"/>
          <w:szCs w:val="22"/>
          <w:lang w:val="es-PA" w:eastAsia="en-US"/>
        </w:rPr>
        <w:t xml:space="preserve"> </w:t>
      </w:r>
      <w:r w:rsidR="00867A71" w:rsidRPr="00553D37">
        <w:rPr>
          <w:rFonts w:eastAsia="Calibri"/>
          <w:i/>
          <w:iCs/>
          <w:sz w:val="22"/>
          <w:szCs w:val="22"/>
          <w:lang w:val="es-PA" w:eastAsia="en-US"/>
        </w:rPr>
        <w:t>Antibióticos más utilizados en atención primaria: clase, presentación y dosis</w:t>
      </w:r>
    </w:p>
    <w:tbl>
      <w:tblPr>
        <w:tblStyle w:val="Tablaconcuadrcula"/>
        <w:tblW w:w="657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0"/>
        <w:gridCol w:w="1350"/>
        <w:gridCol w:w="1260"/>
        <w:gridCol w:w="1350"/>
        <w:gridCol w:w="1350"/>
      </w:tblGrid>
      <w:tr w:rsidR="005D77CA" w:rsidRPr="005D77CA" w14:paraId="0E05B77D" w14:textId="77777777" w:rsidTr="00C56F97">
        <w:tc>
          <w:tcPr>
            <w:tcW w:w="1260" w:type="dxa"/>
            <w:tcBorders>
              <w:top w:val="single" w:sz="4" w:space="0" w:color="auto"/>
              <w:bottom w:val="single" w:sz="4" w:space="0" w:color="auto"/>
            </w:tcBorders>
          </w:tcPr>
          <w:p w14:paraId="5F5D7DCE" w14:textId="3E570DE4" w:rsidR="00D77318" w:rsidRDefault="005D77CA" w:rsidP="005D77CA">
            <w:pPr>
              <w:jc w:val="center"/>
              <w:rPr>
                <w:rFonts w:eastAsia="Calibri"/>
                <w:b/>
                <w:bCs/>
                <w:lang w:val="es-PA" w:eastAsia="en-US"/>
              </w:rPr>
            </w:pPr>
            <w:proofErr w:type="spellStart"/>
            <w:r w:rsidRPr="005D77CA">
              <w:rPr>
                <w:rFonts w:eastAsia="Calibri"/>
                <w:b/>
                <w:bCs/>
                <w:lang w:val="es-PA" w:eastAsia="en-US"/>
              </w:rPr>
              <w:t>Antibió</w:t>
            </w:r>
            <w:proofErr w:type="spellEnd"/>
            <w:r w:rsidR="00D77318" w:rsidRPr="00D77318">
              <w:rPr>
                <w:rFonts w:eastAsia="Calibri"/>
                <w:b/>
                <w:bCs/>
                <w:lang w:val="es-PA" w:eastAsia="en-US"/>
              </w:rPr>
              <w:t>­</w:t>
            </w:r>
          </w:p>
          <w:p w14:paraId="025980C2" w14:textId="06F425DF" w:rsidR="005D77CA" w:rsidRPr="005D77CA" w:rsidRDefault="005D77CA" w:rsidP="005D77CA">
            <w:pPr>
              <w:jc w:val="center"/>
              <w:rPr>
                <w:rFonts w:eastAsia="Calibri"/>
                <w:b/>
                <w:bCs/>
                <w:lang w:val="es-PA" w:eastAsia="en-US"/>
              </w:rPr>
            </w:pPr>
            <w:r w:rsidRPr="005D77CA">
              <w:rPr>
                <w:rFonts w:eastAsia="Calibri"/>
                <w:b/>
                <w:bCs/>
                <w:lang w:val="es-PA" w:eastAsia="en-US"/>
              </w:rPr>
              <w:t>tico</w:t>
            </w:r>
          </w:p>
        </w:tc>
        <w:tc>
          <w:tcPr>
            <w:tcW w:w="1350" w:type="dxa"/>
            <w:tcBorders>
              <w:top w:val="single" w:sz="4" w:space="0" w:color="auto"/>
              <w:bottom w:val="single" w:sz="4" w:space="0" w:color="auto"/>
            </w:tcBorders>
          </w:tcPr>
          <w:p w14:paraId="423EBD2E" w14:textId="77777777" w:rsidR="004A0D47" w:rsidRDefault="005D77CA" w:rsidP="005D77CA">
            <w:pPr>
              <w:jc w:val="center"/>
              <w:rPr>
                <w:rFonts w:eastAsia="Calibri"/>
                <w:lang w:val="es-PA" w:eastAsia="en-US"/>
              </w:rPr>
            </w:pPr>
            <w:r w:rsidRPr="005D77CA">
              <w:rPr>
                <w:rFonts w:eastAsia="Calibri"/>
                <w:b/>
                <w:bCs/>
                <w:lang w:val="es-PA" w:eastAsia="en-US"/>
              </w:rPr>
              <w:t xml:space="preserve">Clase </w:t>
            </w:r>
            <w:proofErr w:type="spellStart"/>
            <w:r w:rsidRPr="005D77CA">
              <w:rPr>
                <w:rFonts w:eastAsia="Calibri"/>
                <w:b/>
                <w:bCs/>
                <w:lang w:val="es-PA" w:eastAsia="en-US"/>
              </w:rPr>
              <w:t>farmacéu</w:t>
            </w:r>
            <w:proofErr w:type="spellEnd"/>
            <w:r w:rsidR="004A0D47">
              <w:rPr>
                <w:rFonts w:eastAsia="Calibri"/>
                <w:lang w:val="es-PA" w:eastAsia="en-US"/>
              </w:rPr>
              <w:t>­</w:t>
            </w:r>
          </w:p>
          <w:p w14:paraId="3EAD3DDC" w14:textId="330AD94A" w:rsidR="005D77CA" w:rsidRPr="005D77CA" w:rsidRDefault="005D77CA" w:rsidP="005D77CA">
            <w:pPr>
              <w:jc w:val="center"/>
              <w:rPr>
                <w:rFonts w:eastAsia="Calibri"/>
                <w:b/>
                <w:bCs/>
                <w:lang w:val="es-PA" w:eastAsia="en-US"/>
              </w:rPr>
            </w:pPr>
            <w:r w:rsidRPr="005D77CA">
              <w:rPr>
                <w:rFonts w:eastAsia="Calibri"/>
                <w:b/>
                <w:bCs/>
                <w:lang w:val="es-PA" w:eastAsia="en-US"/>
              </w:rPr>
              <w:t>tica</w:t>
            </w:r>
          </w:p>
        </w:tc>
        <w:tc>
          <w:tcPr>
            <w:tcW w:w="1260" w:type="dxa"/>
            <w:tcBorders>
              <w:top w:val="single" w:sz="4" w:space="0" w:color="auto"/>
              <w:bottom w:val="single" w:sz="4" w:space="0" w:color="auto"/>
            </w:tcBorders>
          </w:tcPr>
          <w:p w14:paraId="44768017" w14:textId="77777777" w:rsidR="004A0D47" w:rsidRDefault="005D77CA" w:rsidP="005D77CA">
            <w:pPr>
              <w:jc w:val="center"/>
              <w:rPr>
                <w:rFonts w:eastAsia="Calibri"/>
                <w:lang w:val="es-PA" w:eastAsia="en-US"/>
              </w:rPr>
            </w:pPr>
            <w:r w:rsidRPr="005D77CA">
              <w:rPr>
                <w:rFonts w:eastAsia="Calibri"/>
                <w:b/>
                <w:bCs/>
                <w:lang w:val="es-PA" w:eastAsia="en-US"/>
              </w:rPr>
              <w:t>Presenta</w:t>
            </w:r>
            <w:r w:rsidR="004A0D47">
              <w:rPr>
                <w:rFonts w:eastAsia="Calibri"/>
                <w:lang w:val="es-PA" w:eastAsia="en-US"/>
              </w:rPr>
              <w:t>­</w:t>
            </w:r>
          </w:p>
          <w:p w14:paraId="172B0149" w14:textId="72E4895C" w:rsidR="005D77CA" w:rsidRPr="005D77CA" w:rsidRDefault="005D77CA" w:rsidP="005D77CA">
            <w:pPr>
              <w:jc w:val="center"/>
              <w:rPr>
                <w:rFonts w:eastAsia="Calibri"/>
                <w:b/>
                <w:bCs/>
                <w:lang w:val="es-PA" w:eastAsia="en-US"/>
              </w:rPr>
            </w:pPr>
            <w:proofErr w:type="spellStart"/>
            <w:r w:rsidRPr="005D77CA">
              <w:rPr>
                <w:rFonts w:eastAsia="Calibri"/>
                <w:b/>
                <w:bCs/>
                <w:lang w:val="es-PA" w:eastAsia="en-US"/>
              </w:rPr>
              <w:t>ción</w:t>
            </w:r>
            <w:proofErr w:type="spellEnd"/>
            <w:r w:rsidRPr="005D77CA">
              <w:rPr>
                <w:rFonts w:eastAsia="Calibri"/>
                <w:b/>
                <w:bCs/>
                <w:lang w:val="es-PA" w:eastAsia="en-US"/>
              </w:rPr>
              <w:t xml:space="preserve"> común</w:t>
            </w:r>
          </w:p>
        </w:tc>
        <w:tc>
          <w:tcPr>
            <w:tcW w:w="1350" w:type="dxa"/>
            <w:tcBorders>
              <w:top w:val="single" w:sz="4" w:space="0" w:color="auto"/>
              <w:bottom w:val="single" w:sz="4" w:space="0" w:color="auto"/>
            </w:tcBorders>
          </w:tcPr>
          <w:p w14:paraId="67DD0843" w14:textId="77777777" w:rsidR="005D77CA" w:rsidRPr="005D77CA" w:rsidRDefault="005D77CA" w:rsidP="005D77CA">
            <w:pPr>
              <w:jc w:val="center"/>
              <w:rPr>
                <w:rFonts w:eastAsia="Calibri"/>
                <w:b/>
                <w:bCs/>
                <w:lang w:val="es-PA" w:eastAsia="en-US"/>
              </w:rPr>
            </w:pPr>
            <w:r w:rsidRPr="005D77CA">
              <w:rPr>
                <w:rFonts w:eastAsia="Calibri"/>
                <w:b/>
                <w:bCs/>
                <w:lang w:val="es-PA" w:eastAsia="en-US"/>
              </w:rPr>
              <w:t>Dosis habitual</w:t>
            </w:r>
          </w:p>
        </w:tc>
        <w:tc>
          <w:tcPr>
            <w:tcW w:w="1350" w:type="dxa"/>
            <w:tcBorders>
              <w:top w:val="single" w:sz="4" w:space="0" w:color="auto"/>
              <w:bottom w:val="single" w:sz="4" w:space="0" w:color="auto"/>
            </w:tcBorders>
          </w:tcPr>
          <w:p w14:paraId="2592DBC4" w14:textId="77777777" w:rsidR="005D77CA" w:rsidRPr="005D77CA" w:rsidRDefault="005D77CA" w:rsidP="005D77CA">
            <w:pPr>
              <w:jc w:val="center"/>
              <w:rPr>
                <w:rFonts w:eastAsia="Calibri"/>
                <w:b/>
                <w:bCs/>
                <w:lang w:val="es-PA" w:eastAsia="en-US"/>
              </w:rPr>
            </w:pPr>
            <w:r w:rsidRPr="005D77CA">
              <w:rPr>
                <w:rFonts w:eastAsia="Calibri"/>
                <w:b/>
                <w:bCs/>
                <w:lang w:val="es-PA" w:eastAsia="en-US"/>
              </w:rPr>
              <w:t>Uso clínico común</w:t>
            </w:r>
          </w:p>
        </w:tc>
      </w:tr>
      <w:tr w:rsidR="005D77CA" w:rsidRPr="005D77CA" w14:paraId="2DB99F30" w14:textId="77777777" w:rsidTr="00C56F97">
        <w:tc>
          <w:tcPr>
            <w:tcW w:w="1260" w:type="dxa"/>
            <w:tcBorders>
              <w:top w:val="single" w:sz="4" w:space="0" w:color="auto"/>
            </w:tcBorders>
          </w:tcPr>
          <w:p w14:paraId="211BCDDD" w14:textId="42259CA0" w:rsidR="00D77318" w:rsidRDefault="005D77CA" w:rsidP="005D77CA">
            <w:pPr>
              <w:jc w:val="center"/>
              <w:rPr>
                <w:rFonts w:eastAsia="Calibri"/>
                <w:lang w:val="es-PA" w:eastAsia="en-US"/>
              </w:rPr>
            </w:pPr>
            <w:r w:rsidRPr="005D77CA">
              <w:rPr>
                <w:rFonts w:eastAsia="Calibri"/>
                <w:lang w:val="es-PA" w:eastAsia="en-US"/>
              </w:rPr>
              <w:t>Amo</w:t>
            </w:r>
            <w:r w:rsidR="00D77318" w:rsidRPr="00D77318">
              <w:rPr>
                <w:rFonts w:eastAsia="Calibri"/>
                <w:lang w:val="es-PA" w:eastAsia="en-US"/>
              </w:rPr>
              <w:t>­</w:t>
            </w:r>
          </w:p>
          <w:p w14:paraId="0C5CDC41" w14:textId="49035D36" w:rsidR="005D77CA" w:rsidRPr="005D77CA" w:rsidRDefault="005D77CA" w:rsidP="005D77CA">
            <w:pPr>
              <w:jc w:val="center"/>
              <w:rPr>
                <w:rFonts w:eastAsia="Calibri"/>
                <w:lang w:val="es-PA" w:eastAsia="en-US"/>
              </w:rPr>
            </w:pPr>
            <w:proofErr w:type="spellStart"/>
            <w:r w:rsidRPr="005D77CA">
              <w:rPr>
                <w:rFonts w:eastAsia="Calibri"/>
                <w:lang w:val="es-PA" w:eastAsia="en-US"/>
              </w:rPr>
              <w:t>xicilina</w:t>
            </w:r>
            <w:proofErr w:type="spellEnd"/>
          </w:p>
        </w:tc>
        <w:tc>
          <w:tcPr>
            <w:tcW w:w="1350" w:type="dxa"/>
            <w:tcBorders>
              <w:top w:val="single" w:sz="4" w:space="0" w:color="auto"/>
            </w:tcBorders>
          </w:tcPr>
          <w:p w14:paraId="617A52AC" w14:textId="77777777" w:rsidR="005D77CA" w:rsidRPr="005D77CA" w:rsidRDefault="005D77CA" w:rsidP="005D77CA">
            <w:pPr>
              <w:jc w:val="center"/>
              <w:rPr>
                <w:rFonts w:eastAsia="Calibri"/>
                <w:lang w:val="es-PA" w:eastAsia="en-US"/>
              </w:rPr>
            </w:pPr>
            <w:r w:rsidRPr="005D77CA">
              <w:rPr>
                <w:rFonts w:eastAsia="Calibri"/>
                <w:lang w:val="es-PA" w:eastAsia="en-US"/>
              </w:rPr>
              <w:t>Penicilinas</w:t>
            </w:r>
          </w:p>
        </w:tc>
        <w:tc>
          <w:tcPr>
            <w:tcW w:w="1260" w:type="dxa"/>
            <w:tcBorders>
              <w:top w:val="single" w:sz="4" w:space="0" w:color="auto"/>
            </w:tcBorders>
          </w:tcPr>
          <w:p w14:paraId="2CC27F01" w14:textId="77777777" w:rsidR="005D77CA" w:rsidRPr="005D77CA" w:rsidRDefault="005D77CA" w:rsidP="005D77CA">
            <w:pPr>
              <w:jc w:val="center"/>
              <w:rPr>
                <w:rFonts w:eastAsia="Calibri"/>
                <w:lang w:val="es-PA" w:eastAsia="en-US"/>
              </w:rPr>
            </w:pPr>
            <w:r w:rsidRPr="005D77CA">
              <w:rPr>
                <w:rFonts w:eastAsia="Calibri"/>
                <w:lang w:val="es-PA" w:eastAsia="en-US"/>
              </w:rPr>
              <w:t>Tabletas / cápsulas</w:t>
            </w:r>
          </w:p>
        </w:tc>
        <w:tc>
          <w:tcPr>
            <w:tcW w:w="1350" w:type="dxa"/>
            <w:tcBorders>
              <w:top w:val="single" w:sz="4" w:space="0" w:color="auto"/>
            </w:tcBorders>
          </w:tcPr>
          <w:p w14:paraId="3C8F2021" w14:textId="4CC97312" w:rsidR="005D77CA" w:rsidRPr="005D77CA" w:rsidRDefault="005D77CA" w:rsidP="005D77CA">
            <w:pPr>
              <w:jc w:val="center"/>
              <w:rPr>
                <w:rFonts w:eastAsia="Calibri"/>
                <w:lang w:val="es-PA" w:eastAsia="en-US"/>
              </w:rPr>
            </w:pPr>
            <w:r w:rsidRPr="005D77CA">
              <w:rPr>
                <w:rFonts w:eastAsia="Calibri"/>
                <w:lang w:val="es-PA" w:eastAsia="en-US"/>
              </w:rPr>
              <w:t xml:space="preserve">500 mg cada </w:t>
            </w:r>
            <w:r w:rsidR="009D3125">
              <w:rPr>
                <w:rFonts w:eastAsia="Calibri"/>
                <w:lang w:val="es-PA" w:eastAsia="en-US"/>
              </w:rPr>
              <w:t>c/</w:t>
            </w:r>
            <w:r w:rsidRPr="005D77CA">
              <w:rPr>
                <w:rFonts w:eastAsia="Calibri"/>
                <w:lang w:val="es-PA" w:eastAsia="en-US"/>
              </w:rPr>
              <w:t>8h</w:t>
            </w:r>
          </w:p>
        </w:tc>
        <w:tc>
          <w:tcPr>
            <w:tcW w:w="1350" w:type="dxa"/>
            <w:tcBorders>
              <w:top w:val="single" w:sz="4" w:space="0" w:color="auto"/>
            </w:tcBorders>
          </w:tcPr>
          <w:p w14:paraId="59D078DD" w14:textId="77777777" w:rsidR="005D77CA" w:rsidRPr="005D77CA" w:rsidRDefault="005D77CA" w:rsidP="005D77CA">
            <w:pPr>
              <w:rPr>
                <w:rFonts w:eastAsia="Calibri"/>
                <w:lang w:val="es-PA" w:eastAsia="en-US"/>
              </w:rPr>
            </w:pPr>
            <w:r w:rsidRPr="005D77CA">
              <w:rPr>
                <w:rFonts w:eastAsia="Calibri"/>
                <w:lang w:val="es-PA" w:eastAsia="en-US"/>
              </w:rPr>
              <w:t xml:space="preserve">Faringitis, otitis, infecciones </w:t>
            </w:r>
            <w:r w:rsidRPr="005D77CA">
              <w:rPr>
                <w:rFonts w:eastAsia="Calibri"/>
                <w:lang w:val="es-PA" w:eastAsia="en-US"/>
              </w:rPr>
              <w:lastRenderedPageBreak/>
              <w:t>respiratorias</w:t>
            </w:r>
          </w:p>
        </w:tc>
      </w:tr>
      <w:tr w:rsidR="001979CD" w:rsidRPr="005D77CA" w14:paraId="292A88B4" w14:textId="77777777" w:rsidTr="00FC69BD">
        <w:tc>
          <w:tcPr>
            <w:tcW w:w="1260" w:type="dxa"/>
            <w:tcBorders>
              <w:top w:val="single" w:sz="4" w:space="0" w:color="auto"/>
              <w:bottom w:val="single" w:sz="4" w:space="0" w:color="auto"/>
            </w:tcBorders>
          </w:tcPr>
          <w:p w14:paraId="4DB5F43E" w14:textId="77777777" w:rsidR="001979CD" w:rsidRDefault="001979CD" w:rsidP="001979CD">
            <w:pPr>
              <w:jc w:val="center"/>
              <w:rPr>
                <w:rFonts w:eastAsia="Calibri"/>
                <w:b/>
                <w:bCs/>
                <w:lang w:val="es-PA" w:eastAsia="en-US"/>
              </w:rPr>
            </w:pPr>
            <w:proofErr w:type="spellStart"/>
            <w:r w:rsidRPr="005D77CA">
              <w:rPr>
                <w:rFonts w:eastAsia="Calibri"/>
                <w:b/>
                <w:bCs/>
                <w:lang w:val="es-PA" w:eastAsia="en-US"/>
              </w:rPr>
              <w:lastRenderedPageBreak/>
              <w:t>Antibió</w:t>
            </w:r>
            <w:proofErr w:type="spellEnd"/>
            <w:r w:rsidRPr="00D77318">
              <w:rPr>
                <w:rFonts w:eastAsia="Calibri"/>
                <w:b/>
                <w:bCs/>
                <w:lang w:val="es-PA" w:eastAsia="en-US"/>
              </w:rPr>
              <w:t>­</w:t>
            </w:r>
          </w:p>
          <w:p w14:paraId="113C5365" w14:textId="5867C24B" w:rsidR="001979CD" w:rsidRPr="005D77CA" w:rsidRDefault="001979CD" w:rsidP="001979CD">
            <w:pPr>
              <w:jc w:val="center"/>
              <w:rPr>
                <w:rFonts w:eastAsia="Calibri"/>
                <w:lang w:val="es-PA" w:eastAsia="en-US"/>
              </w:rPr>
            </w:pPr>
            <w:r w:rsidRPr="005D77CA">
              <w:rPr>
                <w:rFonts w:eastAsia="Calibri"/>
                <w:b/>
                <w:bCs/>
                <w:lang w:val="es-PA" w:eastAsia="en-US"/>
              </w:rPr>
              <w:t>tico</w:t>
            </w:r>
          </w:p>
        </w:tc>
        <w:tc>
          <w:tcPr>
            <w:tcW w:w="1350" w:type="dxa"/>
            <w:tcBorders>
              <w:top w:val="single" w:sz="4" w:space="0" w:color="auto"/>
              <w:bottom w:val="single" w:sz="4" w:space="0" w:color="auto"/>
            </w:tcBorders>
          </w:tcPr>
          <w:p w14:paraId="1F9593EF" w14:textId="77777777" w:rsidR="001979CD" w:rsidRDefault="001979CD" w:rsidP="001979CD">
            <w:pPr>
              <w:jc w:val="center"/>
              <w:rPr>
                <w:rFonts w:eastAsia="Calibri"/>
                <w:lang w:val="es-PA" w:eastAsia="en-US"/>
              </w:rPr>
            </w:pPr>
            <w:r w:rsidRPr="005D77CA">
              <w:rPr>
                <w:rFonts w:eastAsia="Calibri"/>
                <w:b/>
                <w:bCs/>
                <w:lang w:val="es-PA" w:eastAsia="en-US"/>
              </w:rPr>
              <w:t xml:space="preserve">Clase </w:t>
            </w:r>
            <w:proofErr w:type="spellStart"/>
            <w:r w:rsidRPr="005D77CA">
              <w:rPr>
                <w:rFonts w:eastAsia="Calibri"/>
                <w:b/>
                <w:bCs/>
                <w:lang w:val="es-PA" w:eastAsia="en-US"/>
              </w:rPr>
              <w:t>farmacéu</w:t>
            </w:r>
            <w:proofErr w:type="spellEnd"/>
            <w:r>
              <w:rPr>
                <w:rFonts w:eastAsia="Calibri"/>
                <w:lang w:val="es-PA" w:eastAsia="en-US"/>
              </w:rPr>
              <w:t>­</w:t>
            </w:r>
          </w:p>
          <w:p w14:paraId="5257FAB2" w14:textId="485905C0" w:rsidR="001979CD" w:rsidRPr="005D77CA" w:rsidRDefault="001979CD" w:rsidP="001979CD">
            <w:pPr>
              <w:jc w:val="center"/>
              <w:rPr>
                <w:rFonts w:eastAsia="Calibri"/>
                <w:lang w:val="es-PA" w:eastAsia="en-US"/>
              </w:rPr>
            </w:pPr>
            <w:r w:rsidRPr="005D77CA">
              <w:rPr>
                <w:rFonts w:eastAsia="Calibri"/>
                <w:b/>
                <w:bCs/>
                <w:lang w:val="es-PA" w:eastAsia="en-US"/>
              </w:rPr>
              <w:t>tica</w:t>
            </w:r>
          </w:p>
        </w:tc>
        <w:tc>
          <w:tcPr>
            <w:tcW w:w="1260" w:type="dxa"/>
            <w:tcBorders>
              <w:top w:val="single" w:sz="4" w:space="0" w:color="auto"/>
              <w:bottom w:val="single" w:sz="4" w:space="0" w:color="auto"/>
            </w:tcBorders>
          </w:tcPr>
          <w:p w14:paraId="1A3E6CFF" w14:textId="77777777" w:rsidR="001979CD" w:rsidRDefault="001979CD" w:rsidP="001979CD">
            <w:pPr>
              <w:jc w:val="center"/>
              <w:rPr>
                <w:rFonts w:eastAsia="Calibri"/>
                <w:lang w:val="es-PA" w:eastAsia="en-US"/>
              </w:rPr>
            </w:pPr>
            <w:r w:rsidRPr="005D77CA">
              <w:rPr>
                <w:rFonts w:eastAsia="Calibri"/>
                <w:b/>
                <w:bCs/>
                <w:lang w:val="es-PA" w:eastAsia="en-US"/>
              </w:rPr>
              <w:t>Presenta</w:t>
            </w:r>
            <w:r>
              <w:rPr>
                <w:rFonts w:eastAsia="Calibri"/>
                <w:lang w:val="es-PA" w:eastAsia="en-US"/>
              </w:rPr>
              <w:t>­</w:t>
            </w:r>
          </w:p>
          <w:p w14:paraId="14395090" w14:textId="67E828BC" w:rsidR="001979CD" w:rsidRPr="005D77CA" w:rsidRDefault="001979CD" w:rsidP="001979CD">
            <w:pPr>
              <w:jc w:val="center"/>
              <w:rPr>
                <w:rFonts w:eastAsia="Calibri"/>
                <w:lang w:val="es-PA" w:eastAsia="en-US"/>
              </w:rPr>
            </w:pPr>
            <w:proofErr w:type="spellStart"/>
            <w:r w:rsidRPr="005D77CA">
              <w:rPr>
                <w:rFonts w:eastAsia="Calibri"/>
                <w:b/>
                <w:bCs/>
                <w:lang w:val="es-PA" w:eastAsia="en-US"/>
              </w:rPr>
              <w:t>ción</w:t>
            </w:r>
            <w:proofErr w:type="spellEnd"/>
            <w:r w:rsidRPr="005D77CA">
              <w:rPr>
                <w:rFonts w:eastAsia="Calibri"/>
                <w:b/>
                <w:bCs/>
                <w:lang w:val="es-PA" w:eastAsia="en-US"/>
              </w:rPr>
              <w:t xml:space="preserve"> común</w:t>
            </w:r>
          </w:p>
        </w:tc>
        <w:tc>
          <w:tcPr>
            <w:tcW w:w="1350" w:type="dxa"/>
            <w:tcBorders>
              <w:top w:val="single" w:sz="4" w:space="0" w:color="auto"/>
              <w:bottom w:val="single" w:sz="4" w:space="0" w:color="auto"/>
            </w:tcBorders>
          </w:tcPr>
          <w:p w14:paraId="75D46C3E" w14:textId="506F93AE" w:rsidR="001979CD" w:rsidRPr="005D77CA" w:rsidRDefault="001979CD" w:rsidP="001979CD">
            <w:pPr>
              <w:jc w:val="center"/>
              <w:rPr>
                <w:rFonts w:eastAsia="Calibri"/>
                <w:lang w:val="es-PA" w:eastAsia="en-US"/>
              </w:rPr>
            </w:pPr>
            <w:r w:rsidRPr="005D77CA">
              <w:rPr>
                <w:rFonts w:eastAsia="Calibri"/>
                <w:b/>
                <w:bCs/>
                <w:lang w:val="es-PA" w:eastAsia="en-US"/>
              </w:rPr>
              <w:t>Dosis habitual</w:t>
            </w:r>
          </w:p>
        </w:tc>
        <w:tc>
          <w:tcPr>
            <w:tcW w:w="1350" w:type="dxa"/>
            <w:tcBorders>
              <w:top w:val="single" w:sz="4" w:space="0" w:color="auto"/>
              <w:bottom w:val="single" w:sz="4" w:space="0" w:color="auto"/>
            </w:tcBorders>
          </w:tcPr>
          <w:p w14:paraId="71496EBF" w14:textId="63815CD1" w:rsidR="001979CD" w:rsidRPr="005D77CA" w:rsidRDefault="001979CD" w:rsidP="001979CD">
            <w:pPr>
              <w:rPr>
                <w:rFonts w:eastAsia="Calibri"/>
                <w:lang w:val="es-PA" w:eastAsia="en-US"/>
              </w:rPr>
            </w:pPr>
            <w:r w:rsidRPr="005D77CA">
              <w:rPr>
                <w:rFonts w:eastAsia="Calibri"/>
                <w:b/>
                <w:bCs/>
                <w:lang w:val="es-PA" w:eastAsia="en-US"/>
              </w:rPr>
              <w:t>Uso clínico común</w:t>
            </w:r>
          </w:p>
        </w:tc>
      </w:tr>
      <w:tr w:rsidR="005D77CA" w:rsidRPr="005D77CA" w14:paraId="5A3D644E" w14:textId="77777777" w:rsidTr="00C56F97">
        <w:tc>
          <w:tcPr>
            <w:tcW w:w="1260" w:type="dxa"/>
          </w:tcPr>
          <w:p w14:paraId="0E9FE1C3" w14:textId="77777777" w:rsidR="009D3125" w:rsidRDefault="005D77CA" w:rsidP="009D3125">
            <w:pPr>
              <w:jc w:val="center"/>
              <w:rPr>
                <w:rFonts w:eastAsia="Calibri"/>
                <w:lang w:val="es-PA" w:eastAsia="en-US"/>
              </w:rPr>
            </w:pPr>
            <w:r w:rsidRPr="005D77CA">
              <w:rPr>
                <w:rFonts w:eastAsia="Calibri"/>
                <w:lang w:val="es-PA" w:eastAsia="en-US"/>
              </w:rPr>
              <w:t>Cipro</w:t>
            </w:r>
            <w:r w:rsidR="009D3125">
              <w:rPr>
                <w:rFonts w:eastAsia="Calibri"/>
                <w:lang w:val="es-PA" w:eastAsia="en-US"/>
              </w:rPr>
              <w:t>­</w:t>
            </w:r>
          </w:p>
          <w:p w14:paraId="451CB34D" w14:textId="26A4B229" w:rsidR="005D77CA" w:rsidRPr="005D77CA" w:rsidRDefault="005D77CA" w:rsidP="009D3125">
            <w:pPr>
              <w:jc w:val="center"/>
              <w:rPr>
                <w:rFonts w:eastAsia="Calibri"/>
                <w:lang w:val="es-PA" w:eastAsia="en-US"/>
              </w:rPr>
            </w:pPr>
            <w:proofErr w:type="spellStart"/>
            <w:r w:rsidRPr="005D77CA">
              <w:rPr>
                <w:rFonts w:eastAsia="Calibri"/>
                <w:lang w:val="es-PA" w:eastAsia="en-US"/>
              </w:rPr>
              <w:t>floxacino</w:t>
            </w:r>
            <w:proofErr w:type="spellEnd"/>
          </w:p>
        </w:tc>
        <w:tc>
          <w:tcPr>
            <w:tcW w:w="1350" w:type="dxa"/>
          </w:tcPr>
          <w:p w14:paraId="07A03FE6" w14:textId="77777777" w:rsidR="009D3125" w:rsidRDefault="005D77CA" w:rsidP="005D77CA">
            <w:pPr>
              <w:jc w:val="center"/>
              <w:rPr>
                <w:rFonts w:eastAsia="Calibri"/>
                <w:lang w:val="es-PA" w:eastAsia="en-US"/>
              </w:rPr>
            </w:pPr>
            <w:proofErr w:type="spellStart"/>
            <w:r w:rsidRPr="005D77CA">
              <w:rPr>
                <w:rFonts w:eastAsia="Calibri"/>
                <w:lang w:val="es-PA" w:eastAsia="en-US"/>
              </w:rPr>
              <w:t>Quinolo</w:t>
            </w:r>
            <w:proofErr w:type="spellEnd"/>
            <w:r w:rsidR="009D3125">
              <w:rPr>
                <w:rFonts w:eastAsia="Calibri"/>
                <w:lang w:val="es-PA" w:eastAsia="en-US"/>
              </w:rPr>
              <w:t>­</w:t>
            </w:r>
          </w:p>
          <w:p w14:paraId="79177A05" w14:textId="2675934A" w:rsidR="005D77CA" w:rsidRPr="005D77CA" w:rsidRDefault="005D77CA" w:rsidP="005D77CA">
            <w:pPr>
              <w:jc w:val="center"/>
              <w:rPr>
                <w:rFonts w:eastAsia="Calibri"/>
                <w:lang w:val="es-PA" w:eastAsia="en-US"/>
              </w:rPr>
            </w:pPr>
            <w:proofErr w:type="spellStart"/>
            <w:r w:rsidRPr="005D77CA">
              <w:rPr>
                <w:rFonts w:eastAsia="Calibri"/>
                <w:lang w:val="es-PA" w:eastAsia="en-US"/>
              </w:rPr>
              <w:t>nas</w:t>
            </w:r>
            <w:proofErr w:type="spellEnd"/>
          </w:p>
        </w:tc>
        <w:tc>
          <w:tcPr>
            <w:tcW w:w="1260" w:type="dxa"/>
          </w:tcPr>
          <w:p w14:paraId="14B104FC" w14:textId="77777777" w:rsidR="005D77CA" w:rsidRPr="005D77CA" w:rsidRDefault="005D77CA" w:rsidP="005D77CA">
            <w:pPr>
              <w:jc w:val="center"/>
              <w:rPr>
                <w:rFonts w:eastAsia="Calibri"/>
                <w:lang w:val="es-PA" w:eastAsia="en-US"/>
              </w:rPr>
            </w:pPr>
            <w:r w:rsidRPr="005D77CA">
              <w:rPr>
                <w:rFonts w:eastAsia="Calibri"/>
                <w:lang w:val="es-PA" w:eastAsia="en-US"/>
              </w:rPr>
              <w:t>Tabletas</w:t>
            </w:r>
          </w:p>
        </w:tc>
        <w:tc>
          <w:tcPr>
            <w:tcW w:w="1350" w:type="dxa"/>
          </w:tcPr>
          <w:p w14:paraId="278A5574" w14:textId="77777777" w:rsidR="009D3125" w:rsidRDefault="005D77CA" w:rsidP="005D77CA">
            <w:pPr>
              <w:jc w:val="center"/>
              <w:rPr>
                <w:rFonts w:eastAsia="Calibri"/>
                <w:lang w:val="es-PA" w:eastAsia="en-US"/>
              </w:rPr>
            </w:pPr>
            <w:r w:rsidRPr="005D77CA">
              <w:rPr>
                <w:rFonts w:eastAsia="Calibri"/>
                <w:lang w:val="es-PA" w:eastAsia="en-US"/>
              </w:rPr>
              <w:t>500 mg</w:t>
            </w:r>
          </w:p>
          <w:p w14:paraId="6618F210" w14:textId="553D30EA" w:rsidR="005D77CA" w:rsidRPr="005D77CA" w:rsidRDefault="005D77CA" w:rsidP="005D77CA">
            <w:pPr>
              <w:jc w:val="center"/>
              <w:rPr>
                <w:rFonts w:eastAsia="Calibri"/>
                <w:lang w:val="es-PA" w:eastAsia="en-US"/>
              </w:rPr>
            </w:pPr>
            <w:r w:rsidRPr="005D77CA">
              <w:rPr>
                <w:rFonts w:eastAsia="Calibri"/>
                <w:lang w:val="es-PA" w:eastAsia="en-US"/>
              </w:rPr>
              <w:t xml:space="preserve"> c</w:t>
            </w:r>
            <w:r w:rsidR="009D3125">
              <w:rPr>
                <w:rFonts w:eastAsia="Calibri"/>
                <w:lang w:val="es-PA" w:eastAsia="en-US"/>
              </w:rPr>
              <w:t>/</w:t>
            </w:r>
            <w:r w:rsidRPr="005D77CA">
              <w:rPr>
                <w:rFonts w:eastAsia="Calibri"/>
                <w:lang w:val="es-PA" w:eastAsia="en-US"/>
              </w:rPr>
              <w:t>12 h</w:t>
            </w:r>
          </w:p>
        </w:tc>
        <w:tc>
          <w:tcPr>
            <w:tcW w:w="1350" w:type="dxa"/>
          </w:tcPr>
          <w:p w14:paraId="660B4AB1" w14:textId="77777777" w:rsidR="005D77CA" w:rsidRPr="005D77CA" w:rsidRDefault="005D77CA" w:rsidP="005D77CA">
            <w:pPr>
              <w:rPr>
                <w:rFonts w:eastAsia="Calibri"/>
                <w:lang w:val="es-PA" w:eastAsia="en-US"/>
              </w:rPr>
            </w:pPr>
            <w:r w:rsidRPr="005D77CA">
              <w:rPr>
                <w:rFonts w:eastAsia="Calibri"/>
                <w:lang w:val="es-PA" w:eastAsia="en-US"/>
              </w:rPr>
              <w:t>Infecciones urinarias, gastrointestinales</w:t>
            </w:r>
          </w:p>
        </w:tc>
      </w:tr>
      <w:tr w:rsidR="005D77CA" w:rsidRPr="005D77CA" w14:paraId="40056F5A" w14:textId="77777777" w:rsidTr="00C56F97">
        <w:tc>
          <w:tcPr>
            <w:tcW w:w="1260" w:type="dxa"/>
          </w:tcPr>
          <w:p w14:paraId="7A7279C4" w14:textId="77777777" w:rsidR="009D3125" w:rsidRDefault="005D77CA" w:rsidP="009D3125">
            <w:pPr>
              <w:jc w:val="center"/>
              <w:rPr>
                <w:rFonts w:eastAsia="Calibri"/>
                <w:lang w:val="es-PA" w:eastAsia="en-US"/>
              </w:rPr>
            </w:pPr>
            <w:proofErr w:type="spellStart"/>
            <w:r w:rsidRPr="005D77CA">
              <w:rPr>
                <w:rFonts w:eastAsia="Calibri"/>
                <w:lang w:val="es-PA" w:eastAsia="en-US"/>
              </w:rPr>
              <w:t>Azitro</w:t>
            </w:r>
            <w:proofErr w:type="spellEnd"/>
            <w:r w:rsidR="00D77318" w:rsidRPr="00D77318">
              <w:rPr>
                <w:rFonts w:eastAsia="Calibri"/>
                <w:lang w:val="es-PA" w:eastAsia="en-US"/>
              </w:rPr>
              <w:t>­</w:t>
            </w:r>
          </w:p>
          <w:p w14:paraId="003DF5C8" w14:textId="620BD18A" w:rsidR="005D77CA" w:rsidRPr="005D77CA" w:rsidRDefault="005D77CA" w:rsidP="009D3125">
            <w:pPr>
              <w:jc w:val="center"/>
              <w:rPr>
                <w:rFonts w:eastAsia="Calibri"/>
                <w:lang w:val="es-PA" w:eastAsia="en-US"/>
              </w:rPr>
            </w:pPr>
            <w:proofErr w:type="spellStart"/>
            <w:r w:rsidRPr="005D77CA">
              <w:rPr>
                <w:rFonts w:eastAsia="Calibri"/>
                <w:lang w:val="es-PA" w:eastAsia="en-US"/>
              </w:rPr>
              <w:t>micina</w:t>
            </w:r>
            <w:proofErr w:type="spellEnd"/>
          </w:p>
        </w:tc>
        <w:tc>
          <w:tcPr>
            <w:tcW w:w="1350" w:type="dxa"/>
          </w:tcPr>
          <w:p w14:paraId="5EE78232" w14:textId="77777777" w:rsidR="009D3125" w:rsidRDefault="005D77CA" w:rsidP="005D77CA">
            <w:pPr>
              <w:jc w:val="center"/>
              <w:rPr>
                <w:rFonts w:eastAsia="Calibri"/>
                <w:lang w:val="es-PA" w:eastAsia="en-US"/>
              </w:rPr>
            </w:pPr>
            <w:r w:rsidRPr="005D77CA">
              <w:rPr>
                <w:rFonts w:eastAsia="Calibri"/>
                <w:lang w:val="es-PA" w:eastAsia="en-US"/>
              </w:rPr>
              <w:t>Macró</w:t>
            </w:r>
            <w:r w:rsidR="009D3125" w:rsidRPr="009D3125">
              <w:rPr>
                <w:rFonts w:eastAsia="Calibri"/>
                <w:lang w:val="es-PA" w:eastAsia="en-US"/>
              </w:rPr>
              <w:t>­</w:t>
            </w:r>
          </w:p>
          <w:p w14:paraId="640AAD48" w14:textId="13167086" w:rsidR="005D77CA" w:rsidRPr="005D77CA" w:rsidRDefault="005D77CA" w:rsidP="005D77CA">
            <w:pPr>
              <w:jc w:val="center"/>
              <w:rPr>
                <w:rFonts w:eastAsia="Calibri"/>
                <w:lang w:val="es-PA" w:eastAsia="en-US"/>
              </w:rPr>
            </w:pPr>
            <w:proofErr w:type="spellStart"/>
            <w:r w:rsidRPr="005D77CA">
              <w:rPr>
                <w:rFonts w:eastAsia="Calibri"/>
                <w:lang w:val="es-PA" w:eastAsia="en-US"/>
              </w:rPr>
              <w:t>lidos</w:t>
            </w:r>
            <w:proofErr w:type="spellEnd"/>
          </w:p>
        </w:tc>
        <w:tc>
          <w:tcPr>
            <w:tcW w:w="1260" w:type="dxa"/>
          </w:tcPr>
          <w:p w14:paraId="08A682C5" w14:textId="77777777" w:rsidR="005D77CA" w:rsidRPr="005D77CA" w:rsidRDefault="005D77CA" w:rsidP="005D77CA">
            <w:pPr>
              <w:jc w:val="center"/>
              <w:rPr>
                <w:rFonts w:eastAsia="Calibri"/>
                <w:lang w:val="es-PA" w:eastAsia="en-US"/>
              </w:rPr>
            </w:pPr>
            <w:r w:rsidRPr="005D77CA">
              <w:rPr>
                <w:rFonts w:eastAsia="Calibri"/>
                <w:lang w:val="es-PA" w:eastAsia="en-US"/>
              </w:rPr>
              <w:t>Tabletas / cápsulas</w:t>
            </w:r>
          </w:p>
        </w:tc>
        <w:tc>
          <w:tcPr>
            <w:tcW w:w="1350" w:type="dxa"/>
          </w:tcPr>
          <w:p w14:paraId="76F378BC" w14:textId="77777777" w:rsidR="005D77CA" w:rsidRPr="005D77CA" w:rsidRDefault="005D77CA" w:rsidP="005D77CA">
            <w:pPr>
              <w:jc w:val="center"/>
              <w:rPr>
                <w:rFonts w:eastAsia="Calibri"/>
                <w:lang w:val="es-PA" w:eastAsia="en-US"/>
              </w:rPr>
            </w:pPr>
            <w:r w:rsidRPr="005D77CA">
              <w:rPr>
                <w:rFonts w:eastAsia="Calibri"/>
                <w:lang w:val="es-PA" w:eastAsia="en-US"/>
              </w:rPr>
              <w:t>500 mg una vez al día</w:t>
            </w:r>
          </w:p>
        </w:tc>
        <w:tc>
          <w:tcPr>
            <w:tcW w:w="1350" w:type="dxa"/>
          </w:tcPr>
          <w:p w14:paraId="756BB4D6" w14:textId="77777777" w:rsidR="005D77CA" w:rsidRPr="005D77CA" w:rsidRDefault="005D77CA" w:rsidP="005D77CA">
            <w:pPr>
              <w:rPr>
                <w:rFonts w:eastAsia="Calibri"/>
                <w:lang w:val="es-PA" w:eastAsia="en-US"/>
              </w:rPr>
            </w:pPr>
            <w:r w:rsidRPr="005D77CA">
              <w:rPr>
                <w:rFonts w:eastAsia="Calibri"/>
                <w:lang w:val="es-PA" w:eastAsia="en-US"/>
              </w:rPr>
              <w:t>Bronquitis, sinusitis, faringitis</w:t>
            </w:r>
          </w:p>
        </w:tc>
      </w:tr>
      <w:tr w:rsidR="005D77CA" w:rsidRPr="005D77CA" w14:paraId="6274CC15" w14:textId="77777777" w:rsidTr="00C56F97">
        <w:tc>
          <w:tcPr>
            <w:tcW w:w="1260" w:type="dxa"/>
          </w:tcPr>
          <w:p w14:paraId="1885A93A" w14:textId="77777777" w:rsidR="00D77318" w:rsidRDefault="005D77CA" w:rsidP="009D3125">
            <w:pPr>
              <w:jc w:val="center"/>
              <w:rPr>
                <w:rFonts w:eastAsia="Calibri"/>
                <w:lang w:val="es-PA" w:eastAsia="en-US"/>
              </w:rPr>
            </w:pPr>
            <w:proofErr w:type="spellStart"/>
            <w:r w:rsidRPr="005D77CA">
              <w:rPr>
                <w:rFonts w:eastAsia="Calibri"/>
                <w:lang w:val="es-PA" w:eastAsia="en-US"/>
              </w:rPr>
              <w:t>Cefa</w:t>
            </w:r>
            <w:proofErr w:type="spellEnd"/>
            <w:r w:rsidR="00D77318" w:rsidRPr="00D77318">
              <w:rPr>
                <w:rFonts w:eastAsia="Calibri"/>
                <w:lang w:val="es-PA" w:eastAsia="en-US"/>
              </w:rPr>
              <w:t>­</w:t>
            </w:r>
          </w:p>
          <w:p w14:paraId="2B8DA20B" w14:textId="06CD997B" w:rsidR="005D77CA" w:rsidRPr="005D77CA" w:rsidRDefault="005D77CA" w:rsidP="009D3125">
            <w:pPr>
              <w:jc w:val="center"/>
              <w:rPr>
                <w:rFonts w:eastAsia="Calibri"/>
                <w:lang w:val="es-PA" w:eastAsia="en-US"/>
              </w:rPr>
            </w:pPr>
            <w:proofErr w:type="spellStart"/>
            <w:r w:rsidRPr="005D77CA">
              <w:rPr>
                <w:rFonts w:eastAsia="Calibri"/>
                <w:lang w:val="es-PA" w:eastAsia="en-US"/>
              </w:rPr>
              <w:t>lexina</w:t>
            </w:r>
            <w:proofErr w:type="spellEnd"/>
          </w:p>
        </w:tc>
        <w:tc>
          <w:tcPr>
            <w:tcW w:w="1350" w:type="dxa"/>
          </w:tcPr>
          <w:p w14:paraId="63FAD9A1" w14:textId="550517BC" w:rsidR="009D3125" w:rsidRDefault="005D77CA" w:rsidP="005D77CA">
            <w:pPr>
              <w:jc w:val="center"/>
              <w:rPr>
                <w:rFonts w:eastAsia="Calibri"/>
                <w:lang w:val="es-PA" w:eastAsia="en-US"/>
              </w:rPr>
            </w:pPr>
            <w:proofErr w:type="spellStart"/>
            <w:r w:rsidRPr="005D77CA">
              <w:rPr>
                <w:rFonts w:eastAsia="Calibri"/>
                <w:lang w:val="es-PA" w:eastAsia="en-US"/>
              </w:rPr>
              <w:t>Cefalos</w:t>
            </w:r>
            <w:proofErr w:type="spellEnd"/>
            <w:r w:rsidR="009D3125" w:rsidRPr="009D3125">
              <w:rPr>
                <w:rFonts w:eastAsia="Calibri"/>
                <w:lang w:val="es-PA" w:eastAsia="en-US"/>
              </w:rPr>
              <w:t>­</w:t>
            </w:r>
          </w:p>
          <w:p w14:paraId="480C78E6" w14:textId="4D5BD464" w:rsidR="009D3125" w:rsidRDefault="009D3125" w:rsidP="009D3125">
            <w:pPr>
              <w:jc w:val="center"/>
              <w:rPr>
                <w:rFonts w:eastAsia="Calibri"/>
                <w:lang w:val="es-PA" w:eastAsia="en-US"/>
              </w:rPr>
            </w:pPr>
            <w:r w:rsidRPr="005D77CA">
              <w:rPr>
                <w:rFonts w:eastAsia="Calibri"/>
                <w:lang w:val="es-PA" w:eastAsia="en-US"/>
              </w:rPr>
              <w:t>P</w:t>
            </w:r>
            <w:r w:rsidR="005D77CA" w:rsidRPr="005D77CA">
              <w:rPr>
                <w:rFonts w:eastAsia="Calibri"/>
                <w:lang w:val="es-PA" w:eastAsia="en-US"/>
              </w:rPr>
              <w:t>orinas</w:t>
            </w:r>
          </w:p>
          <w:p w14:paraId="738E4B5F" w14:textId="4D183832" w:rsidR="005D77CA" w:rsidRPr="005D77CA" w:rsidRDefault="005D77CA" w:rsidP="009D3125">
            <w:pPr>
              <w:jc w:val="center"/>
              <w:rPr>
                <w:rFonts w:eastAsia="Calibri"/>
                <w:lang w:val="es-PA" w:eastAsia="en-US"/>
              </w:rPr>
            </w:pPr>
            <w:r w:rsidRPr="005D77CA">
              <w:rPr>
                <w:rFonts w:eastAsia="Calibri"/>
                <w:lang w:val="es-PA" w:eastAsia="en-US"/>
              </w:rPr>
              <w:t xml:space="preserve"> (1ª </w:t>
            </w:r>
            <w:r w:rsidR="009D3125">
              <w:rPr>
                <w:rFonts w:eastAsia="Calibri"/>
                <w:lang w:val="es-PA" w:eastAsia="en-US"/>
              </w:rPr>
              <w:t>g</w:t>
            </w:r>
            <w:r w:rsidRPr="005D77CA">
              <w:rPr>
                <w:rFonts w:eastAsia="Calibri"/>
                <w:lang w:val="es-PA" w:eastAsia="en-US"/>
              </w:rPr>
              <w:t>eneración)</w:t>
            </w:r>
          </w:p>
        </w:tc>
        <w:tc>
          <w:tcPr>
            <w:tcW w:w="1260" w:type="dxa"/>
          </w:tcPr>
          <w:p w14:paraId="1A658ED4" w14:textId="77777777" w:rsidR="00D77318" w:rsidRDefault="005D77CA" w:rsidP="005D77CA">
            <w:pPr>
              <w:jc w:val="center"/>
              <w:rPr>
                <w:rFonts w:eastAsia="Calibri"/>
                <w:lang w:val="es-PA" w:eastAsia="en-US"/>
              </w:rPr>
            </w:pPr>
            <w:r w:rsidRPr="005D77CA">
              <w:rPr>
                <w:rFonts w:eastAsia="Calibri"/>
                <w:lang w:val="es-PA" w:eastAsia="en-US"/>
              </w:rPr>
              <w:t xml:space="preserve">Cápsulas / </w:t>
            </w:r>
            <w:proofErr w:type="spellStart"/>
            <w:r w:rsidRPr="005D77CA">
              <w:rPr>
                <w:rFonts w:eastAsia="Calibri"/>
                <w:lang w:val="es-PA" w:eastAsia="en-US"/>
              </w:rPr>
              <w:t>suspen</w:t>
            </w:r>
            <w:proofErr w:type="spellEnd"/>
            <w:r w:rsidR="00D77318" w:rsidRPr="00D77318">
              <w:rPr>
                <w:rFonts w:eastAsia="Calibri"/>
                <w:lang w:val="es-PA" w:eastAsia="en-US"/>
              </w:rPr>
              <w:t>­</w:t>
            </w:r>
          </w:p>
          <w:p w14:paraId="34EE7160" w14:textId="041AFCEC" w:rsidR="005D77CA" w:rsidRPr="005D77CA" w:rsidRDefault="005D77CA" w:rsidP="005D77CA">
            <w:pPr>
              <w:jc w:val="center"/>
              <w:rPr>
                <w:rFonts w:eastAsia="Calibri"/>
                <w:lang w:val="es-PA" w:eastAsia="en-US"/>
              </w:rPr>
            </w:pPr>
            <w:proofErr w:type="spellStart"/>
            <w:r w:rsidRPr="005D77CA">
              <w:rPr>
                <w:rFonts w:eastAsia="Calibri"/>
                <w:lang w:val="es-PA" w:eastAsia="en-US"/>
              </w:rPr>
              <w:t>sión</w:t>
            </w:r>
            <w:proofErr w:type="spellEnd"/>
          </w:p>
        </w:tc>
        <w:tc>
          <w:tcPr>
            <w:tcW w:w="1350" w:type="dxa"/>
          </w:tcPr>
          <w:p w14:paraId="3A803F13" w14:textId="553941CA" w:rsidR="005D77CA" w:rsidRPr="005D77CA" w:rsidRDefault="005D77CA" w:rsidP="005D77CA">
            <w:pPr>
              <w:jc w:val="center"/>
              <w:rPr>
                <w:rFonts w:eastAsia="Calibri"/>
                <w:lang w:val="es-PA" w:eastAsia="en-US"/>
              </w:rPr>
            </w:pPr>
            <w:r w:rsidRPr="005D77CA">
              <w:rPr>
                <w:rFonts w:eastAsia="Calibri"/>
                <w:lang w:val="es-PA" w:eastAsia="en-US"/>
              </w:rPr>
              <w:t>500 mg c</w:t>
            </w:r>
            <w:r w:rsidR="009D3125">
              <w:rPr>
                <w:rFonts w:eastAsia="Calibri"/>
                <w:lang w:val="es-PA" w:eastAsia="en-US"/>
              </w:rPr>
              <w:t>/</w:t>
            </w:r>
            <w:r w:rsidRPr="005D77CA">
              <w:rPr>
                <w:rFonts w:eastAsia="Calibri"/>
                <w:lang w:val="es-PA" w:eastAsia="en-US"/>
              </w:rPr>
              <w:t xml:space="preserve"> 6–8 horas</w:t>
            </w:r>
          </w:p>
        </w:tc>
        <w:tc>
          <w:tcPr>
            <w:tcW w:w="1350" w:type="dxa"/>
          </w:tcPr>
          <w:p w14:paraId="65009584" w14:textId="77777777" w:rsidR="005D77CA" w:rsidRPr="005D77CA" w:rsidRDefault="005D77CA" w:rsidP="005D77CA">
            <w:pPr>
              <w:rPr>
                <w:rFonts w:eastAsia="Calibri"/>
                <w:lang w:val="es-PA" w:eastAsia="en-US"/>
              </w:rPr>
            </w:pPr>
            <w:r w:rsidRPr="005D77CA">
              <w:rPr>
                <w:rFonts w:eastAsia="Calibri"/>
                <w:lang w:val="es-PA" w:eastAsia="en-US"/>
              </w:rPr>
              <w:t>Infecciones cutáneas, urinarias</w:t>
            </w:r>
          </w:p>
        </w:tc>
      </w:tr>
      <w:tr w:rsidR="005D77CA" w:rsidRPr="005D77CA" w14:paraId="3D03115F" w14:textId="77777777" w:rsidTr="00C56F97">
        <w:tc>
          <w:tcPr>
            <w:tcW w:w="1260" w:type="dxa"/>
          </w:tcPr>
          <w:p w14:paraId="35C62762" w14:textId="77777777" w:rsidR="005D77CA" w:rsidRPr="005D77CA" w:rsidRDefault="005D77CA" w:rsidP="009D3125">
            <w:pPr>
              <w:jc w:val="center"/>
              <w:rPr>
                <w:rFonts w:eastAsia="Calibri"/>
                <w:lang w:val="es-PA" w:eastAsia="en-US"/>
              </w:rPr>
            </w:pPr>
            <w:r w:rsidRPr="005D77CA">
              <w:rPr>
                <w:rFonts w:eastAsia="Calibri"/>
                <w:lang w:val="es-PA" w:eastAsia="en-US"/>
              </w:rPr>
              <w:t>Nitrofurantoína</w:t>
            </w:r>
          </w:p>
        </w:tc>
        <w:tc>
          <w:tcPr>
            <w:tcW w:w="1350" w:type="dxa"/>
          </w:tcPr>
          <w:p w14:paraId="707318B2" w14:textId="77777777" w:rsidR="009D3125" w:rsidRDefault="005D77CA" w:rsidP="005D77CA">
            <w:pPr>
              <w:jc w:val="center"/>
              <w:rPr>
                <w:rFonts w:eastAsia="Calibri"/>
                <w:lang w:val="es-PA" w:eastAsia="en-US"/>
              </w:rPr>
            </w:pPr>
            <w:r w:rsidRPr="005D77CA">
              <w:rPr>
                <w:rFonts w:eastAsia="Calibri"/>
                <w:lang w:val="es-PA" w:eastAsia="en-US"/>
              </w:rPr>
              <w:t>Nitro</w:t>
            </w:r>
            <w:r w:rsidR="009D3125">
              <w:rPr>
                <w:rFonts w:eastAsia="Calibri"/>
                <w:lang w:val="es-PA" w:eastAsia="en-US"/>
              </w:rPr>
              <w:t>­</w:t>
            </w:r>
          </w:p>
          <w:p w14:paraId="0DE1A7B5" w14:textId="4AE28E1F" w:rsidR="005D77CA" w:rsidRPr="005D77CA" w:rsidRDefault="005D77CA" w:rsidP="005D77CA">
            <w:pPr>
              <w:jc w:val="center"/>
              <w:rPr>
                <w:rFonts w:eastAsia="Calibri"/>
                <w:lang w:val="es-PA" w:eastAsia="en-US"/>
              </w:rPr>
            </w:pPr>
            <w:r w:rsidRPr="005D77CA">
              <w:rPr>
                <w:rFonts w:eastAsia="Calibri"/>
                <w:lang w:val="es-PA" w:eastAsia="en-US"/>
              </w:rPr>
              <w:t>furanos</w:t>
            </w:r>
          </w:p>
        </w:tc>
        <w:tc>
          <w:tcPr>
            <w:tcW w:w="1260" w:type="dxa"/>
          </w:tcPr>
          <w:p w14:paraId="24EB7AB6" w14:textId="77777777" w:rsidR="005D77CA" w:rsidRPr="005D77CA" w:rsidRDefault="005D77CA" w:rsidP="005D77CA">
            <w:pPr>
              <w:jc w:val="center"/>
              <w:rPr>
                <w:rFonts w:eastAsia="Calibri"/>
                <w:lang w:val="es-PA" w:eastAsia="en-US"/>
              </w:rPr>
            </w:pPr>
            <w:r w:rsidRPr="005D77CA">
              <w:rPr>
                <w:rFonts w:eastAsia="Calibri"/>
                <w:lang w:val="es-PA" w:eastAsia="en-US"/>
              </w:rPr>
              <w:t>Tabletas</w:t>
            </w:r>
          </w:p>
        </w:tc>
        <w:tc>
          <w:tcPr>
            <w:tcW w:w="1350" w:type="dxa"/>
          </w:tcPr>
          <w:p w14:paraId="04902B6C" w14:textId="77777777" w:rsidR="00D77318" w:rsidRDefault="005D77CA" w:rsidP="005D77CA">
            <w:pPr>
              <w:jc w:val="center"/>
              <w:rPr>
                <w:rFonts w:eastAsia="Calibri"/>
                <w:lang w:val="es-PA" w:eastAsia="en-US"/>
              </w:rPr>
            </w:pPr>
            <w:r w:rsidRPr="005D77CA">
              <w:rPr>
                <w:rFonts w:eastAsia="Calibri"/>
                <w:lang w:val="es-PA" w:eastAsia="en-US"/>
              </w:rPr>
              <w:t xml:space="preserve">100 mg </w:t>
            </w:r>
          </w:p>
          <w:p w14:paraId="78CF552E" w14:textId="6F6804E1" w:rsidR="005D77CA" w:rsidRPr="005D77CA" w:rsidRDefault="005D77CA" w:rsidP="005D77CA">
            <w:pPr>
              <w:jc w:val="center"/>
              <w:rPr>
                <w:rFonts w:eastAsia="Calibri"/>
                <w:lang w:val="es-PA" w:eastAsia="en-US"/>
              </w:rPr>
            </w:pPr>
            <w:r w:rsidRPr="005D77CA">
              <w:rPr>
                <w:rFonts w:eastAsia="Calibri"/>
                <w:lang w:val="es-PA" w:eastAsia="en-US"/>
              </w:rPr>
              <w:t>c</w:t>
            </w:r>
            <w:r w:rsidR="00D77318">
              <w:rPr>
                <w:rFonts w:eastAsia="Calibri"/>
                <w:lang w:val="es-PA" w:eastAsia="en-US"/>
              </w:rPr>
              <w:t>/</w:t>
            </w:r>
            <w:r w:rsidRPr="005D77CA">
              <w:rPr>
                <w:rFonts w:eastAsia="Calibri"/>
                <w:lang w:val="es-PA" w:eastAsia="en-US"/>
              </w:rPr>
              <w:t xml:space="preserve"> 8 h</w:t>
            </w:r>
          </w:p>
        </w:tc>
        <w:tc>
          <w:tcPr>
            <w:tcW w:w="1350" w:type="dxa"/>
          </w:tcPr>
          <w:p w14:paraId="4503C756" w14:textId="77777777" w:rsidR="005D77CA" w:rsidRPr="005D77CA" w:rsidRDefault="005D77CA" w:rsidP="005D77CA">
            <w:pPr>
              <w:rPr>
                <w:rFonts w:eastAsia="Calibri"/>
                <w:lang w:val="es-PA" w:eastAsia="en-US"/>
              </w:rPr>
            </w:pPr>
            <w:r w:rsidRPr="005D77CA">
              <w:rPr>
                <w:rFonts w:eastAsia="Calibri"/>
                <w:lang w:val="es-PA" w:eastAsia="en-US"/>
              </w:rPr>
              <w:t>Cistitis no complicada</w:t>
            </w:r>
          </w:p>
        </w:tc>
      </w:tr>
      <w:tr w:rsidR="005D77CA" w:rsidRPr="005D77CA" w14:paraId="24A5F573" w14:textId="77777777" w:rsidTr="00C56F97">
        <w:trPr>
          <w:trHeight w:val="913"/>
        </w:trPr>
        <w:tc>
          <w:tcPr>
            <w:tcW w:w="1260" w:type="dxa"/>
          </w:tcPr>
          <w:p w14:paraId="3E2D4727" w14:textId="77777777" w:rsidR="00D77318" w:rsidRDefault="005D77CA" w:rsidP="009D3125">
            <w:pPr>
              <w:jc w:val="center"/>
              <w:rPr>
                <w:rFonts w:eastAsia="Calibri"/>
                <w:lang w:val="es-PA" w:eastAsia="en-US"/>
              </w:rPr>
            </w:pPr>
            <w:proofErr w:type="spellStart"/>
            <w:r w:rsidRPr="005D77CA">
              <w:rPr>
                <w:rFonts w:eastAsia="Calibri"/>
                <w:lang w:val="es-PA" w:eastAsia="en-US"/>
              </w:rPr>
              <w:t>Amoxi</w:t>
            </w:r>
            <w:proofErr w:type="spellEnd"/>
            <w:r w:rsidR="00D77318" w:rsidRPr="00D77318">
              <w:rPr>
                <w:rFonts w:eastAsia="Calibri"/>
                <w:lang w:val="es-PA" w:eastAsia="en-US"/>
              </w:rPr>
              <w:t>­</w:t>
            </w:r>
          </w:p>
          <w:p w14:paraId="6AB9066C" w14:textId="77777777" w:rsidR="009D3125" w:rsidRDefault="005D77CA" w:rsidP="009D3125">
            <w:pPr>
              <w:jc w:val="center"/>
              <w:rPr>
                <w:rFonts w:eastAsia="Calibri"/>
                <w:lang w:val="es-PA" w:eastAsia="en-US"/>
              </w:rPr>
            </w:pPr>
            <w:proofErr w:type="spellStart"/>
            <w:r w:rsidRPr="005D77CA">
              <w:rPr>
                <w:rFonts w:eastAsia="Calibri"/>
                <w:lang w:val="es-PA" w:eastAsia="en-US"/>
              </w:rPr>
              <w:t>cilina</w:t>
            </w:r>
            <w:proofErr w:type="spellEnd"/>
            <w:r w:rsidRPr="005D77CA">
              <w:rPr>
                <w:rFonts w:eastAsia="Calibri"/>
                <w:lang w:val="es-PA" w:eastAsia="en-US"/>
              </w:rPr>
              <w:t xml:space="preserve"> </w:t>
            </w:r>
          </w:p>
          <w:p w14:paraId="499773DD" w14:textId="3575292A" w:rsidR="00D77318" w:rsidRDefault="005D77CA" w:rsidP="009D3125">
            <w:pPr>
              <w:jc w:val="center"/>
              <w:rPr>
                <w:rFonts w:eastAsia="Calibri"/>
                <w:lang w:val="es-PA" w:eastAsia="en-US"/>
              </w:rPr>
            </w:pPr>
            <w:r w:rsidRPr="005D77CA">
              <w:rPr>
                <w:rFonts w:eastAsia="Calibri"/>
                <w:lang w:val="es-PA" w:eastAsia="en-US"/>
              </w:rPr>
              <w:t xml:space="preserve">+ ácido </w:t>
            </w:r>
            <w:proofErr w:type="spellStart"/>
            <w:r w:rsidRPr="005D77CA">
              <w:rPr>
                <w:rFonts w:eastAsia="Calibri"/>
                <w:lang w:val="es-PA" w:eastAsia="en-US"/>
              </w:rPr>
              <w:t>clavul</w:t>
            </w:r>
            <w:proofErr w:type="spellEnd"/>
            <w:r w:rsidR="00D77318" w:rsidRPr="00D77318">
              <w:rPr>
                <w:rFonts w:eastAsia="Calibri"/>
                <w:lang w:val="es-PA" w:eastAsia="en-US"/>
              </w:rPr>
              <w:t>­</w:t>
            </w:r>
          </w:p>
          <w:p w14:paraId="39BE4F44" w14:textId="57509600" w:rsidR="005D77CA" w:rsidRPr="005D77CA" w:rsidRDefault="005D77CA" w:rsidP="009D3125">
            <w:pPr>
              <w:jc w:val="center"/>
              <w:rPr>
                <w:rFonts w:eastAsia="Calibri"/>
                <w:lang w:val="es-PA" w:eastAsia="en-US"/>
              </w:rPr>
            </w:pPr>
            <w:proofErr w:type="spellStart"/>
            <w:r w:rsidRPr="005D77CA">
              <w:rPr>
                <w:rFonts w:eastAsia="Calibri"/>
                <w:lang w:val="es-PA" w:eastAsia="en-US"/>
              </w:rPr>
              <w:t>ánico</w:t>
            </w:r>
            <w:proofErr w:type="spellEnd"/>
          </w:p>
        </w:tc>
        <w:tc>
          <w:tcPr>
            <w:tcW w:w="1350" w:type="dxa"/>
          </w:tcPr>
          <w:p w14:paraId="46871A26" w14:textId="77777777" w:rsidR="009D3125" w:rsidRDefault="005D77CA" w:rsidP="005D77CA">
            <w:pPr>
              <w:jc w:val="center"/>
              <w:rPr>
                <w:rFonts w:eastAsia="Calibri"/>
                <w:lang w:val="es-PA" w:eastAsia="en-US"/>
              </w:rPr>
            </w:pPr>
            <w:proofErr w:type="spellStart"/>
            <w:r w:rsidRPr="005D77CA">
              <w:rPr>
                <w:rFonts w:eastAsia="Calibri"/>
                <w:lang w:val="es-PA" w:eastAsia="en-US"/>
              </w:rPr>
              <w:t>Penici</w:t>
            </w:r>
            <w:proofErr w:type="spellEnd"/>
            <w:r w:rsidR="009D3125">
              <w:rPr>
                <w:rFonts w:eastAsia="Calibri"/>
                <w:lang w:val="es-PA" w:eastAsia="en-US"/>
              </w:rPr>
              <w:t>­</w:t>
            </w:r>
          </w:p>
          <w:p w14:paraId="54F3B0CE" w14:textId="6CA6653F" w:rsidR="005D77CA" w:rsidRPr="005D77CA" w:rsidRDefault="005D77CA" w:rsidP="005D77CA">
            <w:pPr>
              <w:jc w:val="center"/>
              <w:rPr>
                <w:rFonts w:eastAsia="Calibri"/>
                <w:lang w:val="es-PA" w:eastAsia="en-US"/>
              </w:rPr>
            </w:pPr>
            <w:proofErr w:type="spellStart"/>
            <w:r w:rsidRPr="005D77CA">
              <w:rPr>
                <w:rFonts w:eastAsia="Calibri"/>
                <w:lang w:val="es-PA" w:eastAsia="en-US"/>
              </w:rPr>
              <w:t>linas</w:t>
            </w:r>
            <w:proofErr w:type="spellEnd"/>
            <w:r w:rsidRPr="005D77CA">
              <w:rPr>
                <w:rFonts w:eastAsia="Calibri"/>
                <w:lang w:val="es-PA" w:eastAsia="en-US"/>
              </w:rPr>
              <w:t xml:space="preserve"> con inhibidor</w:t>
            </w:r>
          </w:p>
        </w:tc>
        <w:tc>
          <w:tcPr>
            <w:tcW w:w="1260" w:type="dxa"/>
          </w:tcPr>
          <w:p w14:paraId="1B819447" w14:textId="77777777" w:rsidR="00D77318" w:rsidRDefault="005D77CA" w:rsidP="005D77CA">
            <w:pPr>
              <w:jc w:val="center"/>
              <w:rPr>
                <w:rFonts w:eastAsia="Calibri"/>
                <w:lang w:val="es-PA" w:eastAsia="en-US"/>
              </w:rPr>
            </w:pPr>
            <w:r w:rsidRPr="005D77CA">
              <w:rPr>
                <w:rFonts w:eastAsia="Calibri"/>
                <w:lang w:val="es-PA" w:eastAsia="en-US"/>
              </w:rPr>
              <w:t xml:space="preserve">Tabletas / </w:t>
            </w:r>
            <w:proofErr w:type="spellStart"/>
            <w:r w:rsidRPr="005D77CA">
              <w:rPr>
                <w:rFonts w:eastAsia="Calibri"/>
                <w:lang w:val="es-PA" w:eastAsia="en-US"/>
              </w:rPr>
              <w:t>suspen</w:t>
            </w:r>
            <w:proofErr w:type="spellEnd"/>
            <w:r w:rsidR="00D77318" w:rsidRPr="00D77318">
              <w:rPr>
                <w:rFonts w:eastAsia="Calibri"/>
                <w:lang w:val="es-PA" w:eastAsia="en-US"/>
              </w:rPr>
              <w:t>­</w:t>
            </w:r>
          </w:p>
          <w:p w14:paraId="23D2A528" w14:textId="4DD91182" w:rsidR="005D77CA" w:rsidRPr="005D77CA" w:rsidRDefault="005D77CA" w:rsidP="005D77CA">
            <w:pPr>
              <w:jc w:val="center"/>
              <w:rPr>
                <w:rFonts w:eastAsia="Calibri"/>
                <w:lang w:val="es-PA" w:eastAsia="en-US"/>
              </w:rPr>
            </w:pPr>
            <w:proofErr w:type="spellStart"/>
            <w:r w:rsidRPr="005D77CA">
              <w:rPr>
                <w:rFonts w:eastAsia="Calibri"/>
                <w:lang w:val="es-PA" w:eastAsia="en-US"/>
              </w:rPr>
              <w:t>sión</w:t>
            </w:r>
            <w:proofErr w:type="spellEnd"/>
          </w:p>
        </w:tc>
        <w:tc>
          <w:tcPr>
            <w:tcW w:w="1350" w:type="dxa"/>
          </w:tcPr>
          <w:p w14:paraId="55CD031B" w14:textId="77777777" w:rsidR="00D77318" w:rsidRDefault="005D77CA" w:rsidP="005D77CA">
            <w:pPr>
              <w:jc w:val="center"/>
              <w:rPr>
                <w:rFonts w:eastAsia="Calibri"/>
                <w:lang w:val="es-PA" w:eastAsia="en-US"/>
              </w:rPr>
            </w:pPr>
            <w:r w:rsidRPr="005D77CA">
              <w:rPr>
                <w:rFonts w:eastAsia="Calibri"/>
                <w:lang w:val="es-PA" w:eastAsia="en-US"/>
              </w:rPr>
              <w:t>875 mg + 125 mg</w:t>
            </w:r>
          </w:p>
          <w:p w14:paraId="6316AC99" w14:textId="612EA717" w:rsidR="005D77CA" w:rsidRPr="005D77CA" w:rsidRDefault="005D77CA" w:rsidP="005D77CA">
            <w:pPr>
              <w:jc w:val="center"/>
              <w:rPr>
                <w:rFonts w:eastAsia="Calibri"/>
                <w:lang w:val="es-PA" w:eastAsia="en-US"/>
              </w:rPr>
            </w:pPr>
            <w:r w:rsidRPr="005D77CA">
              <w:rPr>
                <w:rFonts w:eastAsia="Calibri"/>
                <w:lang w:val="es-PA" w:eastAsia="en-US"/>
              </w:rPr>
              <w:t xml:space="preserve"> c</w:t>
            </w:r>
            <w:r w:rsidR="00D77318">
              <w:rPr>
                <w:rFonts w:eastAsia="Calibri"/>
                <w:lang w:val="es-PA" w:eastAsia="en-US"/>
              </w:rPr>
              <w:t>/</w:t>
            </w:r>
            <w:r w:rsidRPr="005D77CA">
              <w:rPr>
                <w:rFonts w:eastAsia="Calibri"/>
                <w:lang w:val="es-PA" w:eastAsia="en-US"/>
              </w:rPr>
              <w:t>12 h</w:t>
            </w:r>
          </w:p>
        </w:tc>
        <w:tc>
          <w:tcPr>
            <w:tcW w:w="1350" w:type="dxa"/>
          </w:tcPr>
          <w:p w14:paraId="77E844D7" w14:textId="77777777" w:rsidR="005D77CA" w:rsidRPr="005D77CA" w:rsidRDefault="005D77CA" w:rsidP="005D77CA">
            <w:pPr>
              <w:rPr>
                <w:rFonts w:eastAsia="Calibri"/>
                <w:lang w:val="es-PA" w:eastAsia="en-US"/>
              </w:rPr>
            </w:pPr>
            <w:r w:rsidRPr="005D77CA">
              <w:rPr>
                <w:rFonts w:eastAsia="Calibri"/>
                <w:lang w:val="es-PA" w:eastAsia="en-US"/>
              </w:rPr>
              <w:t>Sinusitis, otitis, infecciones resistentes</w:t>
            </w:r>
          </w:p>
        </w:tc>
      </w:tr>
      <w:tr w:rsidR="005D77CA" w:rsidRPr="005D77CA" w14:paraId="3CCE9A02" w14:textId="77777777" w:rsidTr="00C56F97">
        <w:trPr>
          <w:trHeight w:val="454"/>
        </w:trPr>
        <w:tc>
          <w:tcPr>
            <w:tcW w:w="1260" w:type="dxa"/>
          </w:tcPr>
          <w:p w14:paraId="6353FC71" w14:textId="77777777" w:rsidR="00D77318" w:rsidRDefault="005D77CA" w:rsidP="009D3125">
            <w:pPr>
              <w:jc w:val="center"/>
              <w:rPr>
                <w:rFonts w:eastAsia="Calibri"/>
                <w:lang w:val="es-PA" w:eastAsia="en-US"/>
              </w:rPr>
            </w:pPr>
            <w:r w:rsidRPr="005D77CA">
              <w:rPr>
                <w:rFonts w:eastAsia="Calibri"/>
                <w:lang w:val="es-PA" w:eastAsia="en-US"/>
              </w:rPr>
              <w:t>Doxi</w:t>
            </w:r>
            <w:r w:rsidR="00D77318" w:rsidRPr="00D77318">
              <w:rPr>
                <w:rFonts w:eastAsia="Calibri"/>
                <w:lang w:val="es-PA" w:eastAsia="en-US"/>
              </w:rPr>
              <w:t>­</w:t>
            </w:r>
          </w:p>
          <w:p w14:paraId="0DC614AC" w14:textId="7CBFC0CA" w:rsidR="005D77CA" w:rsidRPr="005D77CA" w:rsidRDefault="005D77CA" w:rsidP="009D3125">
            <w:pPr>
              <w:jc w:val="center"/>
              <w:rPr>
                <w:rFonts w:eastAsia="Calibri"/>
                <w:lang w:val="es-PA" w:eastAsia="en-US"/>
              </w:rPr>
            </w:pPr>
            <w:r w:rsidRPr="005D77CA">
              <w:rPr>
                <w:rFonts w:eastAsia="Calibri"/>
                <w:lang w:val="es-PA" w:eastAsia="en-US"/>
              </w:rPr>
              <w:t>ciclina</w:t>
            </w:r>
          </w:p>
        </w:tc>
        <w:tc>
          <w:tcPr>
            <w:tcW w:w="1350" w:type="dxa"/>
          </w:tcPr>
          <w:p w14:paraId="0C08D8EE" w14:textId="77777777" w:rsidR="009D3125" w:rsidRDefault="005D77CA" w:rsidP="005D77CA">
            <w:pPr>
              <w:jc w:val="center"/>
              <w:rPr>
                <w:rFonts w:eastAsia="Calibri"/>
                <w:lang w:val="es-PA" w:eastAsia="en-US"/>
              </w:rPr>
            </w:pPr>
            <w:r w:rsidRPr="005D77CA">
              <w:rPr>
                <w:rFonts w:eastAsia="Calibri"/>
                <w:lang w:val="es-PA" w:eastAsia="en-US"/>
              </w:rPr>
              <w:t>Tetra</w:t>
            </w:r>
            <w:r w:rsidR="009D3125">
              <w:rPr>
                <w:rFonts w:eastAsia="Calibri"/>
                <w:lang w:val="es-PA" w:eastAsia="en-US"/>
              </w:rPr>
              <w:t>­</w:t>
            </w:r>
          </w:p>
          <w:p w14:paraId="0313C070" w14:textId="297BC387" w:rsidR="005D77CA" w:rsidRPr="005D77CA" w:rsidRDefault="005D77CA" w:rsidP="005D77CA">
            <w:pPr>
              <w:jc w:val="center"/>
              <w:rPr>
                <w:rFonts w:eastAsia="Calibri"/>
                <w:lang w:val="es-PA" w:eastAsia="en-US"/>
              </w:rPr>
            </w:pPr>
            <w:r w:rsidRPr="005D77CA">
              <w:rPr>
                <w:rFonts w:eastAsia="Calibri"/>
                <w:lang w:val="es-PA" w:eastAsia="en-US"/>
              </w:rPr>
              <w:t>ciclinas</w:t>
            </w:r>
          </w:p>
        </w:tc>
        <w:tc>
          <w:tcPr>
            <w:tcW w:w="1260" w:type="dxa"/>
          </w:tcPr>
          <w:p w14:paraId="27CA33C6" w14:textId="77777777" w:rsidR="005D77CA" w:rsidRPr="005D77CA" w:rsidRDefault="005D77CA" w:rsidP="005D77CA">
            <w:pPr>
              <w:jc w:val="center"/>
              <w:rPr>
                <w:rFonts w:eastAsia="Calibri"/>
                <w:lang w:val="es-PA" w:eastAsia="en-US"/>
              </w:rPr>
            </w:pPr>
            <w:r w:rsidRPr="005D77CA">
              <w:rPr>
                <w:rFonts w:eastAsia="Calibri"/>
                <w:lang w:val="es-PA" w:eastAsia="en-US"/>
              </w:rPr>
              <w:t>Cápsulas</w:t>
            </w:r>
          </w:p>
        </w:tc>
        <w:tc>
          <w:tcPr>
            <w:tcW w:w="1350" w:type="dxa"/>
          </w:tcPr>
          <w:p w14:paraId="78BF73E0" w14:textId="77777777" w:rsidR="00D77318" w:rsidRDefault="005D77CA" w:rsidP="005D77CA">
            <w:pPr>
              <w:jc w:val="center"/>
              <w:rPr>
                <w:rFonts w:eastAsia="Calibri"/>
                <w:lang w:val="es-PA" w:eastAsia="en-US"/>
              </w:rPr>
            </w:pPr>
            <w:r w:rsidRPr="005D77CA">
              <w:rPr>
                <w:rFonts w:eastAsia="Calibri"/>
                <w:lang w:val="es-PA" w:eastAsia="en-US"/>
              </w:rPr>
              <w:t>100 mg</w:t>
            </w:r>
          </w:p>
          <w:p w14:paraId="1330F76B" w14:textId="4730668D" w:rsidR="005D77CA" w:rsidRPr="005D77CA" w:rsidRDefault="005D77CA" w:rsidP="005D77CA">
            <w:pPr>
              <w:jc w:val="center"/>
              <w:rPr>
                <w:rFonts w:eastAsia="Calibri"/>
                <w:lang w:val="es-PA" w:eastAsia="en-US"/>
              </w:rPr>
            </w:pPr>
            <w:r w:rsidRPr="005D77CA">
              <w:rPr>
                <w:rFonts w:eastAsia="Calibri"/>
                <w:lang w:val="es-PA" w:eastAsia="en-US"/>
              </w:rPr>
              <w:t xml:space="preserve"> c</w:t>
            </w:r>
            <w:r w:rsidR="00D77318">
              <w:rPr>
                <w:rFonts w:eastAsia="Calibri"/>
                <w:lang w:val="es-PA" w:eastAsia="en-US"/>
              </w:rPr>
              <w:t>/</w:t>
            </w:r>
            <w:r w:rsidRPr="005D77CA">
              <w:rPr>
                <w:rFonts w:eastAsia="Calibri"/>
                <w:lang w:val="es-PA" w:eastAsia="en-US"/>
              </w:rPr>
              <w:t>12 h</w:t>
            </w:r>
          </w:p>
        </w:tc>
        <w:tc>
          <w:tcPr>
            <w:tcW w:w="1350" w:type="dxa"/>
          </w:tcPr>
          <w:p w14:paraId="58908F19" w14:textId="77777777" w:rsidR="005D77CA" w:rsidRPr="005D77CA" w:rsidRDefault="005D77CA" w:rsidP="005D77CA">
            <w:pPr>
              <w:rPr>
                <w:rFonts w:eastAsia="Calibri"/>
                <w:lang w:val="es-PA" w:eastAsia="en-US"/>
              </w:rPr>
            </w:pPr>
            <w:r w:rsidRPr="005D77CA">
              <w:rPr>
                <w:rFonts w:eastAsia="Calibri"/>
                <w:lang w:val="es-PA" w:eastAsia="en-US"/>
              </w:rPr>
              <w:t>Respiratorias, zoonosis, acné</w:t>
            </w:r>
          </w:p>
        </w:tc>
      </w:tr>
      <w:tr w:rsidR="005D77CA" w:rsidRPr="005D77CA" w14:paraId="12878F55" w14:textId="77777777" w:rsidTr="00C56F97">
        <w:trPr>
          <w:trHeight w:val="1228"/>
        </w:trPr>
        <w:tc>
          <w:tcPr>
            <w:tcW w:w="1260" w:type="dxa"/>
            <w:tcBorders>
              <w:bottom w:val="single" w:sz="4" w:space="0" w:color="auto"/>
            </w:tcBorders>
          </w:tcPr>
          <w:p w14:paraId="4837A42D" w14:textId="77777777" w:rsidR="009D3125" w:rsidRDefault="005D77CA" w:rsidP="009D3125">
            <w:pPr>
              <w:jc w:val="center"/>
              <w:rPr>
                <w:rFonts w:eastAsia="Calibri"/>
                <w:lang w:val="es-PA" w:eastAsia="en-US"/>
              </w:rPr>
            </w:pPr>
            <w:proofErr w:type="spellStart"/>
            <w:r w:rsidRPr="005D77CA">
              <w:rPr>
                <w:rFonts w:eastAsia="Calibri"/>
                <w:lang w:val="es-PA" w:eastAsia="en-US"/>
              </w:rPr>
              <w:t>Metroni</w:t>
            </w:r>
            <w:proofErr w:type="spellEnd"/>
            <w:r w:rsidR="009D3125">
              <w:rPr>
                <w:rFonts w:eastAsia="Calibri"/>
                <w:lang w:val="es-PA" w:eastAsia="en-US"/>
              </w:rPr>
              <w:t>­</w:t>
            </w:r>
          </w:p>
          <w:p w14:paraId="5CF71617" w14:textId="662F8614" w:rsidR="005D77CA" w:rsidRPr="005D77CA" w:rsidRDefault="005D77CA" w:rsidP="009D3125">
            <w:pPr>
              <w:jc w:val="center"/>
              <w:rPr>
                <w:rFonts w:eastAsia="Calibri"/>
                <w:lang w:val="es-PA" w:eastAsia="en-US"/>
              </w:rPr>
            </w:pPr>
            <w:proofErr w:type="spellStart"/>
            <w:r w:rsidRPr="005D77CA">
              <w:rPr>
                <w:rFonts w:eastAsia="Calibri"/>
                <w:lang w:val="es-PA" w:eastAsia="en-US"/>
              </w:rPr>
              <w:t>dazol</w:t>
            </w:r>
            <w:proofErr w:type="spellEnd"/>
          </w:p>
        </w:tc>
        <w:tc>
          <w:tcPr>
            <w:tcW w:w="1350" w:type="dxa"/>
            <w:tcBorders>
              <w:bottom w:val="single" w:sz="4" w:space="0" w:color="auto"/>
            </w:tcBorders>
          </w:tcPr>
          <w:p w14:paraId="7BB41076" w14:textId="77777777" w:rsidR="009D3125" w:rsidRDefault="005D77CA" w:rsidP="009D3125">
            <w:pPr>
              <w:rPr>
                <w:rFonts w:eastAsia="Calibri"/>
                <w:lang w:val="es-PA" w:eastAsia="en-US"/>
              </w:rPr>
            </w:pPr>
            <w:r w:rsidRPr="005D77CA">
              <w:rPr>
                <w:rFonts w:eastAsia="Calibri"/>
                <w:lang w:val="es-PA" w:eastAsia="en-US"/>
              </w:rPr>
              <w:t>Nitro</w:t>
            </w:r>
            <w:r w:rsidR="009D3125">
              <w:rPr>
                <w:rFonts w:eastAsia="Calibri"/>
                <w:lang w:val="es-PA" w:eastAsia="en-US"/>
              </w:rPr>
              <w:t>­</w:t>
            </w:r>
          </w:p>
          <w:p w14:paraId="0E17689E" w14:textId="32AEEC82" w:rsidR="005D77CA" w:rsidRPr="005D77CA" w:rsidRDefault="005D77CA" w:rsidP="009D3125">
            <w:pPr>
              <w:rPr>
                <w:rFonts w:eastAsia="Calibri"/>
                <w:lang w:val="es-PA" w:eastAsia="en-US"/>
              </w:rPr>
            </w:pPr>
            <w:r w:rsidRPr="005D77CA">
              <w:rPr>
                <w:rFonts w:eastAsia="Calibri"/>
                <w:lang w:val="es-PA" w:eastAsia="en-US"/>
              </w:rPr>
              <w:t>imidazoles</w:t>
            </w:r>
          </w:p>
        </w:tc>
        <w:tc>
          <w:tcPr>
            <w:tcW w:w="1260" w:type="dxa"/>
            <w:tcBorders>
              <w:bottom w:val="single" w:sz="4" w:space="0" w:color="auto"/>
            </w:tcBorders>
          </w:tcPr>
          <w:p w14:paraId="65B02A8D" w14:textId="3DFE468F" w:rsidR="00D77318" w:rsidRDefault="005D77CA" w:rsidP="005D77CA">
            <w:pPr>
              <w:jc w:val="center"/>
              <w:rPr>
                <w:rFonts w:eastAsia="Calibri"/>
                <w:lang w:val="es-PA" w:eastAsia="en-US"/>
              </w:rPr>
            </w:pPr>
            <w:r w:rsidRPr="005D77CA">
              <w:rPr>
                <w:rFonts w:eastAsia="Calibri"/>
                <w:lang w:val="es-PA" w:eastAsia="en-US"/>
              </w:rPr>
              <w:t xml:space="preserve">Tabletas / </w:t>
            </w:r>
            <w:proofErr w:type="spellStart"/>
            <w:r w:rsidRPr="005D77CA">
              <w:rPr>
                <w:rFonts w:eastAsia="Calibri"/>
                <w:lang w:val="es-PA" w:eastAsia="en-US"/>
              </w:rPr>
              <w:t>s</w:t>
            </w:r>
            <w:r w:rsidR="00D77318">
              <w:rPr>
                <w:rFonts w:eastAsia="Calibri"/>
                <w:lang w:val="es-PA" w:eastAsia="en-US"/>
              </w:rPr>
              <w:t>uspen</w:t>
            </w:r>
            <w:proofErr w:type="spellEnd"/>
            <w:r w:rsidR="00D77318">
              <w:rPr>
                <w:rFonts w:eastAsia="Calibri"/>
                <w:lang w:val="es-PA" w:eastAsia="en-US"/>
              </w:rPr>
              <w:t>­</w:t>
            </w:r>
          </w:p>
          <w:p w14:paraId="33153D55" w14:textId="163E0E1D" w:rsidR="005D77CA" w:rsidRPr="005D77CA" w:rsidRDefault="005D77CA" w:rsidP="005D77CA">
            <w:pPr>
              <w:jc w:val="center"/>
              <w:rPr>
                <w:rFonts w:eastAsia="Calibri"/>
                <w:lang w:val="es-PA" w:eastAsia="en-US"/>
              </w:rPr>
            </w:pPr>
            <w:proofErr w:type="spellStart"/>
            <w:r w:rsidRPr="005D77CA">
              <w:rPr>
                <w:rFonts w:eastAsia="Calibri"/>
                <w:lang w:val="es-PA" w:eastAsia="en-US"/>
              </w:rPr>
              <w:t>sión</w:t>
            </w:r>
            <w:proofErr w:type="spellEnd"/>
          </w:p>
        </w:tc>
        <w:tc>
          <w:tcPr>
            <w:tcW w:w="1350" w:type="dxa"/>
            <w:tcBorders>
              <w:bottom w:val="single" w:sz="4" w:space="0" w:color="auto"/>
            </w:tcBorders>
          </w:tcPr>
          <w:p w14:paraId="319FAD9C" w14:textId="77777777" w:rsidR="00D77318" w:rsidRDefault="005D77CA" w:rsidP="005D77CA">
            <w:pPr>
              <w:jc w:val="center"/>
              <w:rPr>
                <w:rFonts w:eastAsia="Calibri"/>
                <w:lang w:val="es-PA" w:eastAsia="en-US"/>
              </w:rPr>
            </w:pPr>
            <w:r w:rsidRPr="005D77CA">
              <w:rPr>
                <w:rFonts w:eastAsia="Calibri"/>
                <w:lang w:val="es-PA" w:eastAsia="en-US"/>
              </w:rPr>
              <w:t xml:space="preserve">500 mg </w:t>
            </w:r>
          </w:p>
          <w:p w14:paraId="50DEA7BD" w14:textId="65C780A9" w:rsidR="005D77CA" w:rsidRPr="005D77CA" w:rsidRDefault="005D77CA" w:rsidP="005D77CA">
            <w:pPr>
              <w:jc w:val="center"/>
              <w:rPr>
                <w:rFonts w:eastAsia="Calibri"/>
                <w:lang w:val="es-PA" w:eastAsia="en-US"/>
              </w:rPr>
            </w:pPr>
            <w:r w:rsidRPr="005D77CA">
              <w:rPr>
                <w:rFonts w:eastAsia="Calibri"/>
                <w:lang w:val="es-PA" w:eastAsia="en-US"/>
              </w:rPr>
              <w:t>c</w:t>
            </w:r>
            <w:r w:rsidR="00D77318">
              <w:rPr>
                <w:rFonts w:eastAsia="Calibri"/>
                <w:lang w:val="es-PA" w:eastAsia="en-US"/>
              </w:rPr>
              <w:t>/</w:t>
            </w:r>
            <w:r w:rsidRPr="005D77CA">
              <w:rPr>
                <w:rFonts w:eastAsia="Calibri"/>
                <w:lang w:val="es-PA" w:eastAsia="en-US"/>
              </w:rPr>
              <w:t>8 h</w:t>
            </w:r>
          </w:p>
        </w:tc>
        <w:tc>
          <w:tcPr>
            <w:tcW w:w="1350" w:type="dxa"/>
            <w:tcBorders>
              <w:bottom w:val="single" w:sz="4" w:space="0" w:color="auto"/>
            </w:tcBorders>
          </w:tcPr>
          <w:p w14:paraId="08D5F0E7" w14:textId="77777777" w:rsidR="005D77CA" w:rsidRPr="005D77CA" w:rsidRDefault="005D77CA" w:rsidP="005D77CA">
            <w:pPr>
              <w:rPr>
                <w:rFonts w:eastAsia="Calibri"/>
                <w:lang w:val="es-PA" w:eastAsia="en-US"/>
              </w:rPr>
            </w:pPr>
            <w:r w:rsidRPr="005D77CA">
              <w:rPr>
                <w:rFonts w:eastAsia="Calibri"/>
                <w:lang w:val="es-PA" w:eastAsia="en-US"/>
              </w:rPr>
              <w:t>Infecciones anaerobias, gastrointestinales</w:t>
            </w:r>
          </w:p>
        </w:tc>
      </w:tr>
    </w:tbl>
    <w:p w14:paraId="61B7E027" w14:textId="77777777" w:rsidR="00867A71" w:rsidRPr="005D77CA" w:rsidRDefault="00867A71" w:rsidP="00867A71">
      <w:pPr>
        <w:jc w:val="both"/>
        <w:rPr>
          <w:rFonts w:eastAsia="Calibri"/>
          <w:sz w:val="16"/>
          <w:szCs w:val="16"/>
          <w:lang w:val="es-PA" w:eastAsia="en-US"/>
        </w:rPr>
      </w:pPr>
      <w:r w:rsidRPr="005D77CA">
        <w:rPr>
          <w:rFonts w:eastAsia="Calibri"/>
          <w:b/>
          <w:sz w:val="16"/>
          <w:szCs w:val="16"/>
          <w:lang w:val="es-PA" w:eastAsia="en-US"/>
        </w:rPr>
        <w:t>Fuente:</w:t>
      </w:r>
      <w:r w:rsidRPr="005D77CA">
        <w:rPr>
          <w:rFonts w:eastAsia="Calibri"/>
          <w:sz w:val="16"/>
          <w:szCs w:val="16"/>
          <w:lang w:val="es-PA" w:eastAsia="en-US"/>
        </w:rPr>
        <w:t xml:space="preserve"> Elaboración propia con base en guías clínicas 2020–2025.</w:t>
      </w:r>
    </w:p>
    <w:p w14:paraId="661F2962" w14:textId="77777777" w:rsidR="00867A71" w:rsidRPr="005D77CA" w:rsidRDefault="00867A71" w:rsidP="00867A71">
      <w:pPr>
        <w:jc w:val="both"/>
        <w:rPr>
          <w:rFonts w:eastAsia="Calibri"/>
          <w:sz w:val="16"/>
          <w:szCs w:val="16"/>
          <w:lang w:val="es-PA" w:eastAsia="en-US"/>
        </w:rPr>
      </w:pPr>
    </w:p>
    <w:p w14:paraId="409F8D45" w14:textId="3EE67CE1" w:rsidR="005D77CA" w:rsidRDefault="00867A71" w:rsidP="00867A71">
      <w:pPr>
        <w:jc w:val="both"/>
        <w:rPr>
          <w:rFonts w:eastAsia="Calibri"/>
          <w:lang w:val="es-PA" w:eastAsia="en-US"/>
        </w:rPr>
      </w:pPr>
      <w:r w:rsidRPr="00867A71">
        <w:rPr>
          <w:rFonts w:eastAsia="Calibri"/>
          <w:lang w:val="es-PA" w:eastAsia="en-US"/>
        </w:rPr>
        <w:t>Se observó un predominio en la prescripción de penicilinas, quinolonas y macrólidos, lo cual refleja los esquemas empíricos más utilizados en atención primaria para el manejo de infecciones respiratorias y urinarias. Este patrón coincide con las recomendaciones clínicas vigentes y con estudios que evidencian su alta frecuencia en contextos comunitarios (Holmes et al., 20</w:t>
      </w:r>
      <w:r w:rsidR="00A73046">
        <w:rPr>
          <w:rFonts w:eastAsia="Calibri"/>
          <w:lang w:val="es-PA" w:eastAsia="en-US"/>
        </w:rPr>
        <w:t>16</w:t>
      </w:r>
      <w:r w:rsidRPr="00867A71">
        <w:rPr>
          <w:rFonts w:eastAsia="Calibri"/>
          <w:lang w:val="es-PA" w:eastAsia="en-US"/>
        </w:rPr>
        <w:t xml:space="preserve">; Marcilla Vázquez et al., 2025). </w:t>
      </w:r>
    </w:p>
    <w:p w14:paraId="5483800C" w14:textId="4026F841" w:rsidR="00867A71" w:rsidRPr="00867A71" w:rsidRDefault="00867A71" w:rsidP="00867A71">
      <w:pPr>
        <w:jc w:val="both"/>
        <w:rPr>
          <w:rFonts w:eastAsia="Calibri"/>
          <w:lang w:val="es-PA" w:eastAsia="en-US"/>
        </w:rPr>
      </w:pPr>
      <w:r w:rsidRPr="00867A71">
        <w:rPr>
          <w:rFonts w:eastAsia="Calibri"/>
          <w:lang w:val="es-PA" w:eastAsia="en-US"/>
        </w:rPr>
        <w:t xml:space="preserve">La elección de estos antimicrobianos fue clave para analizar los patrones de prescripción y su vínculo con la aparición de cepas </w:t>
      </w:r>
      <w:r w:rsidRPr="00867A71">
        <w:rPr>
          <w:rFonts w:eastAsia="Calibri"/>
          <w:lang w:val="es-PA" w:eastAsia="en-US"/>
        </w:rPr>
        <w:lastRenderedPageBreak/>
        <w:t>resistentes, especialmente en infecciones adquiridas en la comunidad (Ruiz</w:t>
      </w:r>
      <w:r w:rsidR="002A2F71">
        <w:rPr>
          <w:rFonts w:eastAsia="Calibri"/>
          <w:lang w:val="es-PA" w:eastAsia="en-US"/>
        </w:rPr>
        <w:t xml:space="preserve"> et al.</w:t>
      </w:r>
      <w:r w:rsidRPr="00867A71">
        <w:rPr>
          <w:rFonts w:eastAsia="Calibri"/>
          <w:lang w:val="es-PA" w:eastAsia="en-US"/>
        </w:rPr>
        <w:t>, 2024). Estos hallazgos permiten contextualizar la práctica médica en el primer nivel de atención y orientar estrategias de uso racional de antibióticos.</w:t>
      </w:r>
    </w:p>
    <w:p w14:paraId="3556A3AB" w14:textId="11749481" w:rsidR="00867A71" w:rsidRPr="00867A71" w:rsidRDefault="00DC71CA" w:rsidP="00DC71CA">
      <w:pPr>
        <w:spacing w:line="259" w:lineRule="auto"/>
        <w:jc w:val="both"/>
        <w:rPr>
          <w:rFonts w:eastAsia="Calibri"/>
          <w:lang w:val="es-PA" w:eastAsia="en-US"/>
        </w:rPr>
      </w:pPr>
      <w:r w:rsidRPr="00DC71CA">
        <w:rPr>
          <w:rFonts w:eastAsia="Calibri"/>
          <w:lang w:val="es-PA" w:eastAsia="en-US"/>
        </w:rPr>
        <w:t>Los m</w:t>
      </w:r>
      <w:r w:rsidR="00867A71" w:rsidRPr="00DC71CA">
        <w:rPr>
          <w:rFonts w:eastAsia="Calibri"/>
          <w:lang w:val="es-PA" w:eastAsia="en-US"/>
        </w:rPr>
        <w:t>étodos de recolección de datos</w:t>
      </w:r>
      <w:r w:rsidRPr="00DC71CA">
        <w:rPr>
          <w:rFonts w:eastAsia="Calibri"/>
          <w:lang w:val="es-PA" w:eastAsia="en-US"/>
        </w:rPr>
        <w:t xml:space="preserve"> se desarrollaron a partir de la r</w:t>
      </w:r>
      <w:r w:rsidR="00867A71" w:rsidRPr="00DC71CA">
        <w:rPr>
          <w:rFonts w:eastAsia="Calibri"/>
          <w:lang w:val="es-PA" w:eastAsia="en-US"/>
        </w:rPr>
        <w:t>evisión</w:t>
      </w:r>
      <w:r w:rsidR="00867A71" w:rsidRPr="00867A71">
        <w:rPr>
          <w:rFonts w:eastAsia="Calibri"/>
          <w:lang w:val="es-PA" w:eastAsia="en-US"/>
        </w:rPr>
        <w:t xml:space="preserve"> de expedientes clínicos</w:t>
      </w:r>
      <w:r>
        <w:rPr>
          <w:rFonts w:eastAsia="Calibri"/>
          <w:lang w:val="es-PA" w:eastAsia="en-US"/>
        </w:rPr>
        <w:t>, las e</w:t>
      </w:r>
      <w:r w:rsidR="00867A71" w:rsidRPr="00867A71">
        <w:rPr>
          <w:rFonts w:eastAsia="Calibri"/>
          <w:lang w:val="es-PA" w:eastAsia="en-US"/>
        </w:rPr>
        <w:t>ncuestas estructuradas a médicos sobre criterios de prescripción</w:t>
      </w:r>
      <w:r>
        <w:rPr>
          <w:rFonts w:eastAsia="Calibri"/>
          <w:lang w:val="es-PA" w:eastAsia="en-US"/>
        </w:rPr>
        <w:t xml:space="preserve"> y los r</w:t>
      </w:r>
      <w:r w:rsidR="00867A71" w:rsidRPr="00867A71">
        <w:rPr>
          <w:rFonts w:eastAsia="Calibri"/>
          <w:lang w:val="es-PA" w:eastAsia="en-US"/>
        </w:rPr>
        <w:t>esultados de antibiogramas de laboratorios asociados.</w:t>
      </w:r>
    </w:p>
    <w:p w14:paraId="6A626423" w14:textId="77777777" w:rsidR="00DC71CA" w:rsidRDefault="00867A71" w:rsidP="00867A71">
      <w:pPr>
        <w:spacing w:line="259" w:lineRule="auto"/>
        <w:jc w:val="both"/>
        <w:rPr>
          <w:rFonts w:eastAsia="Calibri"/>
          <w:lang w:val="es-PA" w:eastAsia="en-US"/>
        </w:rPr>
      </w:pPr>
      <w:r w:rsidRPr="00867A71">
        <w:rPr>
          <w:rFonts w:eastAsia="Calibri"/>
          <w:lang w:val="es-PA" w:eastAsia="en-US"/>
        </w:rPr>
        <w:t xml:space="preserve">Se aplicó un modelo de regresión logística multivariable para analizar la asociación entre la prescripción empírica de antimicrobianos y la ocurrencia de desenlaces clínicos adversos, definidos como la presencia de complicaciones (variable dependiente binaria: sí/no). </w:t>
      </w:r>
    </w:p>
    <w:p w14:paraId="67DD8F4F" w14:textId="77777777" w:rsidR="00DC71CA" w:rsidRDefault="00867A71" w:rsidP="00867A71">
      <w:pPr>
        <w:spacing w:line="259" w:lineRule="auto"/>
        <w:jc w:val="both"/>
        <w:rPr>
          <w:rFonts w:eastAsia="Calibri"/>
          <w:lang w:val="es-PA" w:eastAsia="en-US"/>
        </w:rPr>
      </w:pPr>
      <w:r w:rsidRPr="00867A71">
        <w:rPr>
          <w:rFonts w:eastAsia="Calibri"/>
          <w:lang w:val="es-PA" w:eastAsia="en-US"/>
        </w:rPr>
        <w:t xml:space="preserve">Las variables independientes incluyeron el tipo de infección (respiratoria, urinaria o cutánea), la presencia de resistencia bacteriana confirmada, edad, sexo y comorbilidades relevantes. Adicionalmente, se utilizó el método de Kaplan-Meier para estimar la duración del tratamiento y la evolución clínica, permitiendo comparar tiempos de resolución entre grupos expuestos y no expuestos a antimicrobianos resistentes. </w:t>
      </w:r>
    </w:p>
    <w:p w14:paraId="1F260595" w14:textId="1FAED52E" w:rsidR="00867A71" w:rsidRPr="00867A71" w:rsidRDefault="00867A71" w:rsidP="00867A71">
      <w:pPr>
        <w:spacing w:line="259" w:lineRule="auto"/>
        <w:jc w:val="both"/>
        <w:rPr>
          <w:rFonts w:eastAsia="Calibri"/>
          <w:lang w:val="es-PA" w:eastAsia="en-US"/>
        </w:rPr>
      </w:pPr>
      <w:r w:rsidRPr="00867A71">
        <w:rPr>
          <w:rFonts w:eastAsia="Calibri"/>
          <w:lang w:val="es-PA" w:eastAsia="en-US"/>
        </w:rPr>
        <w:t>Se calcularon tasas específicas de resistencia y complicaciones por tipo de infección, siguiendo estándares epidemiológicos internacionales (Cassini et al., 20</w:t>
      </w:r>
      <w:r w:rsidR="007A4CEE">
        <w:rPr>
          <w:rFonts w:eastAsia="Calibri"/>
          <w:lang w:val="es-PA" w:eastAsia="en-US"/>
        </w:rPr>
        <w:t>19</w:t>
      </w:r>
      <w:r w:rsidRPr="00867A71">
        <w:rPr>
          <w:rFonts w:eastAsia="Calibri"/>
          <w:lang w:val="es-PA" w:eastAsia="en-US"/>
        </w:rPr>
        <w:t>; Bassetti et al., 202</w:t>
      </w:r>
      <w:r w:rsidR="00261518">
        <w:rPr>
          <w:rFonts w:eastAsia="Calibri"/>
          <w:lang w:val="es-PA" w:eastAsia="en-US"/>
        </w:rPr>
        <w:t>0</w:t>
      </w:r>
      <w:r w:rsidRPr="00867A71">
        <w:rPr>
          <w:rFonts w:eastAsia="Calibri"/>
          <w:lang w:val="es-PA" w:eastAsia="en-US"/>
        </w:rPr>
        <w:t xml:space="preserve">; </w:t>
      </w:r>
      <w:proofErr w:type="spellStart"/>
      <w:r w:rsidRPr="00867A71">
        <w:rPr>
          <w:rFonts w:eastAsia="Calibri"/>
          <w:lang w:val="es-PA" w:eastAsia="en-US"/>
        </w:rPr>
        <w:t>Laxminarayan</w:t>
      </w:r>
      <w:proofErr w:type="spellEnd"/>
      <w:r w:rsidRPr="00867A71">
        <w:rPr>
          <w:rFonts w:eastAsia="Calibri"/>
          <w:lang w:val="es-PA" w:eastAsia="en-US"/>
        </w:rPr>
        <w:t xml:space="preserve"> et al., 2020; Tacconelli et al., 2023; WHO, 2023).</w:t>
      </w:r>
    </w:p>
    <w:p w14:paraId="5D2B6C2D" w14:textId="1279DD9E" w:rsidR="00782896" w:rsidRDefault="00427D1F" w:rsidP="00782896">
      <w:pPr>
        <w:ind w:right="49"/>
        <w:jc w:val="both"/>
        <w:rPr>
          <w:rFonts w:eastAsia="Gill Sans MT"/>
          <w:b/>
        </w:rPr>
      </w:pPr>
      <w:r w:rsidRPr="00656BA0">
        <w:rPr>
          <w:rFonts w:eastAsia="Gill Sans MT"/>
          <w:b/>
        </w:rPr>
        <w:t>RESULT</w:t>
      </w:r>
      <w:r w:rsidR="00AE4FDE">
        <w:rPr>
          <w:rFonts w:eastAsia="Gill Sans MT"/>
          <w:b/>
        </w:rPr>
        <w:t>ADO</w:t>
      </w:r>
      <w:r w:rsidRPr="00656BA0">
        <w:rPr>
          <w:rFonts w:eastAsia="Gill Sans MT"/>
          <w:b/>
        </w:rPr>
        <w:t>S</w:t>
      </w:r>
    </w:p>
    <w:p w14:paraId="22E93859" w14:textId="77777777" w:rsidR="00867A71" w:rsidRPr="00DC71CA" w:rsidRDefault="00867A71" w:rsidP="00867A71">
      <w:pPr>
        <w:spacing w:line="259" w:lineRule="auto"/>
        <w:jc w:val="both"/>
        <w:rPr>
          <w:rFonts w:eastAsia="Calibri"/>
          <w:lang w:val="es-PA" w:eastAsia="en-US"/>
        </w:rPr>
      </w:pPr>
      <w:r w:rsidRPr="00DC71CA">
        <w:rPr>
          <w:rFonts w:eastAsia="Calibri"/>
          <w:lang w:val="es-PA" w:eastAsia="en-US"/>
        </w:rPr>
        <w:t>Del total de 300 pacientes incluidos en el estudio, 112 (37.3 %) presentaron infecciones urinarias. Este subgrupo fue utilizado para el análisis de resistencia antimicrobiana, prescripción empírica y desenlaces clínicos.</w:t>
      </w:r>
    </w:p>
    <w:p w14:paraId="68236208" w14:textId="77777777" w:rsidR="00867A71" w:rsidRPr="00DC71CA" w:rsidRDefault="00867A71" w:rsidP="00867A71">
      <w:pPr>
        <w:spacing w:line="259" w:lineRule="auto"/>
        <w:jc w:val="both"/>
        <w:rPr>
          <w:rFonts w:eastAsia="Calibri"/>
          <w:lang w:val="es-PA" w:eastAsia="en-US"/>
        </w:rPr>
      </w:pPr>
      <w:r w:rsidRPr="00DC71CA">
        <w:rPr>
          <w:rFonts w:eastAsia="Calibri"/>
          <w:lang w:val="es-PA" w:eastAsia="en-US"/>
        </w:rPr>
        <w:t>La muestra total estuvo conformada por 300 pacientes adultos (≥18 años) que consultaron por infecciones respiratorias, urinarias o cutáneas. La mediana de edad fue de 58 años (RI: 45–72), con predominio del sexo femenino (68 %). El 42 % presentaba al menos una comorbilidad, siendo las más frecuentes la diabetes mellitus tipo 2 (21 %) y la hipertensión arterial (19 %). El 35 % correspondió a pacientes mayores de 65 años.</w:t>
      </w:r>
    </w:p>
    <w:p w14:paraId="3074B37C" w14:textId="77777777" w:rsidR="00867A71" w:rsidRPr="00DC71CA" w:rsidRDefault="00867A71" w:rsidP="00867A71">
      <w:pPr>
        <w:spacing w:line="259" w:lineRule="auto"/>
        <w:jc w:val="both"/>
        <w:rPr>
          <w:rFonts w:eastAsia="Calibri"/>
          <w:lang w:val="es-PA" w:eastAsia="en-US"/>
        </w:rPr>
      </w:pPr>
      <w:r w:rsidRPr="00DC71CA">
        <w:rPr>
          <w:rFonts w:eastAsia="Calibri"/>
          <w:lang w:val="es-PA" w:eastAsia="en-US"/>
        </w:rPr>
        <w:t xml:space="preserve">Entre los 112 pacientes con infecciones urinarias, el 38 % presentó resistencia a antibióticos de primera línea, mientras que el 62 % recibió prescripción empírica sin confirmación microbiológica. La </w:t>
      </w:r>
      <w:r w:rsidRPr="00DC71CA">
        <w:rPr>
          <w:rFonts w:eastAsia="Calibri"/>
          <w:lang w:val="es-PA" w:eastAsia="en-US"/>
        </w:rPr>
        <w:lastRenderedPageBreak/>
        <w:t>tasa de complicaciones fue del 18 % en pacientes con resistencia antimicrobiana, frente al 7 % en aquellos sin resistencia (p &lt; 0.001).</w:t>
      </w:r>
    </w:p>
    <w:p w14:paraId="08166914" w14:textId="77777777" w:rsidR="00867A71" w:rsidRPr="00DC71CA" w:rsidRDefault="00867A71" w:rsidP="00867A71">
      <w:pPr>
        <w:spacing w:line="259" w:lineRule="auto"/>
        <w:jc w:val="both"/>
        <w:rPr>
          <w:rFonts w:eastAsia="Calibri"/>
          <w:lang w:val="es-PA" w:eastAsia="en-US"/>
        </w:rPr>
      </w:pPr>
      <w:r w:rsidRPr="00DC71CA">
        <w:rPr>
          <w:rFonts w:eastAsia="Calibri"/>
          <w:lang w:val="es-PA" w:eastAsia="en-US"/>
        </w:rPr>
        <w:t>Se realizó un análisis de regresión logística para identificar los factores asociados a desenlaces adversos. Los resultados se presentan en:</w:t>
      </w:r>
    </w:p>
    <w:p w14:paraId="25D76728" w14:textId="539D240D" w:rsidR="00974EA8" w:rsidRDefault="00867A71" w:rsidP="00867A71">
      <w:pPr>
        <w:spacing w:line="259" w:lineRule="auto"/>
        <w:rPr>
          <w:rFonts w:eastAsia="Calibri"/>
          <w:lang w:val="es-PA" w:eastAsia="en-US"/>
        </w:rPr>
      </w:pPr>
      <w:r w:rsidRPr="00DC71CA">
        <w:rPr>
          <w:rFonts w:eastAsia="Calibri"/>
          <w:b/>
          <w:bCs/>
          <w:lang w:val="es-PA" w:eastAsia="en-US"/>
        </w:rPr>
        <w:t>Tabla 3</w:t>
      </w:r>
      <w:r w:rsidR="00DD1E50">
        <w:rPr>
          <w:rFonts w:eastAsia="Calibri"/>
          <w:b/>
          <w:bCs/>
          <w:lang w:val="es-PA" w:eastAsia="en-US"/>
        </w:rPr>
        <w:t xml:space="preserve"> </w:t>
      </w:r>
      <w:r w:rsidRPr="00DC71CA">
        <w:rPr>
          <w:rFonts w:eastAsia="Calibri"/>
          <w:lang w:val="es-PA" w:eastAsia="en-US"/>
        </w:rPr>
        <w:t xml:space="preserve"> </w:t>
      </w:r>
    </w:p>
    <w:p w14:paraId="1E7CB462" w14:textId="35695B11" w:rsidR="00867A71" w:rsidRPr="00974EA8" w:rsidRDefault="00867A71" w:rsidP="00867A71">
      <w:pPr>
        <w:spacing w:line="259" w:lineRule="auto"/>
        <w:rPr>
          <w:rFonts w:eastAsia="Calibri"/>
          <w:i/>
          <w:iCs/>
          <w:sz w:val="22"/>
          <w:szCs w:val="22"/>
          <w:lang w:val="es-PA" w:eastAsia="en-US"/>
        </w:rPr>
      </w:pPr>
      <w:r w:rsidRPr="00974EA8">
        <w:rPr>
          <w:rFonts w:eastAsia="Calibri"/>
          <w:i/>
          <w:iCs/>
          <w:sz w:val="22"/>
          <w:szCs w:val="22"/>
          <w:lang w:val="es-PA" w:eastAsia="en-US"/>
        </w:rPr>
        <w:t>Factores asociados a desenlaces adversos en infecciones urinarias (análisis multivariado)</w:t>
      </w:r>
    </w:p>
    <w:tbl>
      <w:tblPr>
        <w:tblStyle w:val="Tablaconcuadrcula"/>
        <w:tblW w:w="657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685"/>
        <w:gridCol w:w="988"/>
        <w:gridCol w:w="1150"/>
        <w:gridCol w:w="2051"/>
      </w:tblGrid>
      <w:tr w:rsidR="00867A71" w:rsidRPr="00DC71CA" w14:paraId="57EB22F8" w14:textId="77777777" w:rsidTr="00C56F97">
        <w:tc>
          <w:tcPr>
            <w:tcW w:w="1696" w:type="dxa"/>
            <w:tcBorders>
              <w:top w:val="single" w:sz="4" w:space="0" w:color="auto"/>
              <w:bottom w:val="single" w:sz="4" w:space="0" w:color="auto"/>
            </w:tcBorders>
          </w:tcPr>
          <w:p w14:paraId="3120C821" w14:textId="77777777" w:rsidR="00867A71" w:rsidRPr="00DC71CA" w:rsidRDefault="00867A71" w:rsidP="00867A71">
            <w:pPr>
              <w:jc w:val="center"/>
              <w:rPr>
                <w:rFonts w:eastAsia="Calibri"/>
                <w:b/>
                <w:bCs/>
                <w:lang w:val="es-PA" w:eastAsia="en-US"/>
              </w:rPr>
            </w:pPr>
            <w:r w:rsidRPr="00DC71CA">
              <w:rPr>
                <w:rFonts w:eastAsia="Calibri"/>
                <w:b/>
                <w:bCs/>
                <w:lang w:val="es-PA" w:eastAsia="en-US"/>
              </w:rPr>
              <w:t>Variable independiente</w:t>
            </w:r>
          </w:p>
        </w:tc>
        <w:tc>
          <w:tcPr>
            <w:tcW w:w="685" w:type="dxa"/>
            <w:tcBorders>
              <w:top w:val="single" w:sz="4" w:space="0" w:color="auto"/>
              <w:bottom w:val="single" w:sz="4" w:space="0" w:color="auto"/>
            </w:tcBorders>
          </w:tcPr>
          <w:p w14:paraId="51AA5A20" w14:textId="77777777" w:rsidR="00867A71" w:rsidRPr="00DC71CA" w:rsidRDefault="00867A71" w:rsidP="00867A71">
            <w:pPr>
              <w:jc w:val="center"/>
              <w:rPr>
                <w:rFonts w:eastAsia="Calibri"/>
                <w:b/>
                <w:bCs/>
                <w:lang w:val="es-PA" w:eastAsia="en-US"/>
              </w:rPr>
            </w:pPr>
            <w:r w:rsidRPr="00DC71CA">
              <w:rPr>
                <w:rFonts w:eastAsia="Calibri"/>
                <w:b/>
                <w:bCs/>
                <w:lang w:val="es-PA" w:eastAsia="en-US"/>
              </w:rPr>
              <w:t>OR</w:t>
            </w:r>
          </w:p>
        </w:tc>
        <w:tc>
          <w:tcPr>
            <w:tcW w:w="988" w:type="dxa"/>
            <w:tcBorders>
              <w:top w:val="single" w:sz="4" w:space="0" w:color="auto"/>
              <w:bottom w:val="single" w:sz="4" w:space="0" w:color="auto"/>
            </w:tcBorders>
          </w:tcPr>
          <w:p w14:paraId="0F506A0D" w14:textId="77777777" w:rsidR="00867A71" w:rsidRPr="00DC71CA" w:rsidRDefault="00867A71" w:rsidP="00867A71">
            <w:pPr>
              <w:jc w:val="center"/>
              <w:rPr>
                <w:rFonts w:eastAsia="Calibri"/>
                <w:b/>
                <w:bCs/>
                <w:lang w:val="es-PA" w:eastAsia="en-US"/>
              </w:rPr>
            </w:pPr>
            <w:r w:rsidRPr="00DC71CA">
              <w:rPr>
                <w:rFonts w:eastAsia="Calibri"/>
                <w:b/>
                <w:bCs/>
                <w:lang w:val="es-PA" w:eastAsia="en-US"/>
              </w:rPr>
              <w:t>IC</w:t>
            </w:r>
          </w:p>
          <w:p w14:paraId="1B0121D5" w14:textId="77777777" w:rsidR="00867A71" w:rsidRPr="00DC71CA" w:rsidRDefault="00867A71" w:rsidP="00867A71">
            <w:pPr>
              <w:jc w:val="center"/>
              <w:rPr>
                <w:rFonts w:eastAsia="Calibri"/>
                <w:b/>
                <w:bCs/>
                <w:lang w:val="es-PA" w:eastAsia="en-US"/>
              </w:rPr>
            </w:pPr>
            <w:r w:rsidRPr="00DC71CA">
              <w:rPr>
                <w:rFonts w:eastAsia="Calibri"/>
                <w:b/>
                <w:bCs/>
                <w:lang w:val="es-PA" w:eastAsia="en-US"/>
              </w:rPr>
              <w:t>95%</w:t>
            </w:r>
          </w:p>
        </w:tc>
        <w:tc>
          <w:tcPr>
            <w:tcW w:w="1150" w:type="dxa"/>
            <w:tcBorders>
              <w:top w:val="single" w:sz="4" w:space="0" w:color="auto"/>
              <w:bottom w:val="single" w:sz="4" w:space="0" w:color="auto"/>
            </w:tcBorders>
          </w:tcPr>
          <w:p w14:paraId="157BA932" w14:textId="77777777" w:rsidR="00867A71" w:rsidRPr="00DC71CA" w:rsidRDefault="00867A71" w:rsidP="00867A71">
            <w:pPr>
              <w:jc w:val="center"/>
              <w:rPr>
                <w:rFonts w:eastAsia="Calibri"/>
                <w:b/>
                <w:bCs/>
                <w:lang w:val="es-PA" w:eastAsia="en-US"/>
              </w:rPr>
            </w:pPr>
            <w:r w:rsidRPr="00DC71CA">
              <w:rPr>
                <w:rFonts w:eastAsia="Calibri"/>
                <w:b/>
                <w:bCs/>
                <w:lang w:val="es-PA" w:eastAsia="en-US"/>
              </w:rPr>
              <w:t xml:space="preserve">Valor </w:t>
            </w:r>
          </w:p>
          <w:p w14:paraId="44169B36" w14:textId="77777777" w:rsidR="00867A71" w:rsidRPr="00DC71CA" w:rsidRDefault="00867A71" w:rsidP="00867A71">
            <w:pPr>
              <w:jc w:val="center"/>
              <w:rPr>
                <w:rFonts w:eastAsia="Calibri"/>
                <w:b/>
                <w:bCs/>
                <w:lang w:val="es-PA" w:eastAsia="en-US"/>
              </w:rPr>
            </w:pPr>
            <w:r w:rsidRPr="00DC71CA">
              <w:rPr>
                <w:rFonts w:eastAsia="Calibri"/>
                <w:b/>
                <w:bCs/>
                <w:lang w:val="es-PA" w:eastAsia="en-US"/>
              </w:rPr>
              <w:t>p</w:t>
            </w:r>
          </w:p>
        </w:tc>
        <w:tc>
          <w:tcPr>
            <w:tcW w:w="2051" w:type="dxa"/>
            <w:tcBorders>
              <w:top w:val="single" w:sz="4" w:space="0" w:color="auto"/>
              <w:bottom w:val="single" w:sz="4" w:space="0" w:color="auto"/>
            </w:tcBorders>
          </w:tcPr>
          <w:p w14:paraId="324D3B5D" w14:textId="77777777" w:rsidR="00867A71" w:rsidRPr="00DC71CA" w:rsidRDefault="00867A71" w:rsidP="00867A71">
            <w:pPr>
              <w:jc w:val="center"/>
              <w:rPr>
                <w:rFonts w:eastAsia="Calibri"/>
                <w:b/>
                <w:bCs/>
                <w:lang w:val="es-PA" w:eastAsia="en-US"/>
              </w:rPr>
            </w:pPr>
            <w:r w:rsidRPr="00DC71CA">
              <w:rPr>
                <w:rFonts w:eastAsia="Calibri"/>
                <w:b/>
                <w:bCs/>
                <w:lang w:val="es-PA" w:eastAsia="en-US"/>
              </w:rPr>
              <w:t>Interpretación clínica</w:t>
            </w:r>
          </w:p>
        </w:tc>
      </w:tr>
      <w:tr w:rsidR="00867A71" w:rsidRPr="00DC71CA" w14:paraId="5880A34E" w14:textId="77777777" w:rsidTr="00C56F97">
        <w:tc>
          <w:tcPr>
            <w:tcW w:w="1696" w:type="dxa"/>
            <w:tcBorders>
              <w:top w:val="single" w:sz="4" w:space="0" w:color="auto"/>
            </w:tcBorders>
          </w:tcPr>
          <w:p w14:paraId="72A9692B" w14:textId="77777777" w:rsidR="00867A71" w:rsidRPr="00DC71CA" w:rsidRDefault="00867A71" w:rsidP="00867A71">
            <w:pPr>
              <w:jc w:val="center"/>
              <w:rPr>
                <w:rFonts w:eastAsia="Calibri"/>
                <w:lang w:val="es-PA" w:eastAsia="en-US"/>
              </w:rPr>
            </w:pPr>
            <w:r w:rsidRPr="00DC71CA">
              <w:rPr>
                <w:rFonts w:eastAsia="Calibri"/>
                <w:lang w:val="es-PA" w:eastAsia="en-US"/>
              </w:rPr>
              <w:t>Prescripción empírica</w:t>
            </w:r>
          </w:p>
        </w:tc>
        <w:tc>
          <w:tcPr>
            <w:tcW w:w="685" w:type="dxa"/>
            <w:tcBorders>
              <w:top w:val="single" w:sz="4" w:space="0" w:color="auto"/>
            </w:tcBorders>
          </w:tcPr>
          <w:p w14:paraId="68349818" w14:textId="77777777" w:rsidR="00867A71" w:rsidRPr="00DC71CA" w:rsidRDefault="00867A71" w:rsidP="00867A71">
            <w:pPr>
              <w:jc w:val="center"/>
              <w:rPr>
                <w:rFonts w:eastAsia="Calibri"/>
                <w:lang w:val="es-PA" w:eastAsia="en-US"/>
              </w:rPr>
            </w:pPr>
            <w:r w:rsidRPr="00DC71CA">
              <w:rPr>
                <w:rFonts w:eastAsia="Calibri"/>
                <w:lang w:val="es-PA" w:eastAsia="en-US"/>
              </w:rPr>
              <w:t>2.3</w:t>
            </w:r>
          </w:p>
        </w:tc>
        <w:tc>
          <w:tcPr>
            <w:tcW w:w="988" w:type="dxa"/>
            <w:tcBorders>
              <w:top w:val="single" w:sz="4" w:space="0" w:color="auto"/>
            </w:tcBorders>
          </w:tcPr>
          <w:p w14:paraId="44BBCC20" w14:textId="77777777" w:rsidR="00867A71" w:rsidRPr="00DC71CA" w:rsidRDefault="00867A71" w:rsidP="00867A71">
            <w:pPr>
              <w:jc w:val="center"/>
              <w:rPr>
                <w:rFonts w:eastAsia="Calibri"/>
                <w:lang w:val="es-PA" w:eastAsia="en-US"/>
              </w:rPr>
            </w:pPr>
            <w:r w:rsidRPr="00DC71CA">
              <w:rPr>
                <w:rFonts w:eastAsia="Calibri"/>
                <w:lang w:val="es-PA" w:eastAsia="en-US"/>
              </w:rPr>
              <w:t>1.5–3.6</w:t>
            </w:r>
          </w:p>
        </w:tc>
        <w:tc>
          <w:tcPr>
            <w:tcW w:w="1150" w:type="dxa"/>
            <w:tcBorders>
              <w:top w:val="single" w:sz="4" w:space="0" w:color="auto"/>
            </w:tcBorders>
          </w:tcPr>
          <w:p w14:paraId="7392C7AE" w14:textId="77777777" w:rsidR="00867A71" w:rsidRPr="00DC71CA" w:rsidRDefault="00867A71" w:rsidP="00867A71">
            <w:pPr>
              <w:jc w:val="center"/>
              <w:rPr>
                <w:rFonts w:eastAsia="Calibri"/>
                <w:lang w:val="es-PA" w:eastAsia="en-US"/>
              </w:rPr>
            </w:pPr>
            <w:r w:rsidRPr="00DC71CA">
              <w:rPr>
                <w:rFonts w:eastAsia="Calibri"/>
                <w:lang w:val="es-PA" w:eastAsia="en-US"/>
              </w:rPr>
              <w:t>&lt; 0.001</w:t>
            </w:r>
          </w:p>
        </w:tc>
        <w:tc>
          <w:tcPr>
            <w:tcW w:w="2051" w:type="dxa"/>
            <w:tcBorders>
              <w:top w:val="single" w:sz="4" w:space="0" w:color="auto"/>
            </w:tcBorders>
          </w:tcPr>
          <w:p w14:paraId="6103592B" w14:textId="77777777" w:rsidR="00867A71" w:rsidRPr="00DC71CA" w:rsidRDefault="00867A71" w:rsidP="00867A71">
            <w:pPr>
              <w:jc w:val="both"/>
              <w:rPr>
                <w:rFonts w:eastAsia="Calibri"/>
                <w:lang w:val="es-PA" w:eastAsia="en-US"/>
              </w:rPr>
            </w:pPr>
            <w:r w:rsidRPr="00DC71CA">
              <w:rPr>
                <w:rFonts w:eastAsia="Calibri"/>
                <w:lang w:val="es-PA" w:eastAsia="en-US"/>
              </w:rPr>
              <w:t>Riesgo significativamente mayor de desenlace adverso</w:t>
            </w:r>
          </w:p>
        </w:tc>
      </w:tr>
      <w:tr w:rsidR="00867A71" w:rsidRPr="00DC71CA" w14:paraId="7D2519A3" w14:textId="77777777" w:rsidTr="00C56F97">
        <w:tc>
          <w:tcPr>
            <w:tcW w:w="1696" w:type="dxa"/>
          </w:tcPr>
          <w:p w14:paraId="5A05DBA0" w14:textId="77777777" w:rsidR="00867A71" w:rsidRPr="00DC71CA" w:rsidRDefault="00867A71" w:rsidP="00867A71">
            <w:pPr>
              <w:jc w:val="center"/>
              <w:rPr>
                <w:rFonts w:eastAsia="Calibri"/>
                <w:lang w:val="es-PA" w:eastAsia="en-US"/>
              </w:rPr>
            </w:pPr>
            <w:r w:rsidRPr="00DC71CA">
              <w:rPr>
                <w:rFonts w:eastAsia="Calibri"/>
                <w:lang w:val="es-PA" w:eastAsia="en-US"/>
              </w:rPr>
              <w:t>Edad ≥ 65 años</w:t>
            </w:r>
          </w:p>
        </w:tc>
        <w:tc>
          <w:tcPr>
            <w:tcW w:w="685" w:type="dxa"/>
          </w:tcPr>
          <w:p w14:paraId="2DC75F5E" w14:textId="77777777" w:rsidR="00867A71" w:rsidRPr="00DC71CA" w:rsidRDefault="00867A71" w:rsidP="00867A71">
            <w:pPr>
              <w:jc w:val="center"/>
              <w:rPr>
                <w:rFonts w:eastAsia="Calibri"/>
                <w:lang w:val="es-PA" w:eastAsia="en-US"/>
              </w:rPr>
            </w:pPr>
            <w:r w:rsidRPr="00DC71CA">
              <w:rPr>
                <w:rFonts w:eastAsia="Calibri"/>
                <w:lang w:val="es-PA" w:eastAsia="en-US"/>
              </w:rPr>
              <w:t>1.8</w:t>
            </w:r>
          </w:p>
        </w:tc>
        <w:tc>
          <w:tcPr>
            <w:tcW w:w="988" w:type="dxa"/>
          </w:tcPr>
          <w:p w14:paraId="54A2759C" w14:textId="77777777" w:rsidR="00867A71" w:rsidRPr="00DC71CA" w:rsidRDefault="00867A71" w:rsidP="00867A71">
            <w:pPr>
              <w:jc w:val="center"/>
              <w:rPr>
                <w:rFonts w:eastAsia="Calibri"/>
                <w:lang w:val="es-PA" w:eastAsia="en-US"/>
              </w:rPr>
            </w:pPr>
            <w:r w:rsidRPr="00DC71CA">
              <w:rPr>
                <w:rFonts w:eastAsia="Calibri"/>
                <w:lang w:val="es-PA" w:eastAsia="en-US"/>
              </w:rPr>
              <w:t>1.2–2.9</w:t>
            </w:r>
          </w:p>
        </w:tc>
        <w:tc>
          <w:tcPr>
            <w:tcW w:w="1150" w:type="dxa"/>
          </w:tcPr>
          <w:p w14:paraId="7786C10D" w14:textId="77777777" w:rsidR="00867A71" w:rsidRPr="00DC71CA" w:rsidRDefault="00867A71" w:rsidP="00867A71">
            <w:pPr>
              <w:jc w:val="center"/>
              <w:rPr>
                <w:rFonts w:eastAsia="Calibri"/>
                <w:lang w:val="es-PA" w:eastAsia="en-US"/>
              </w:rPr>
            </w:pPr>
            <w:r w:rsidRPr="00DC71CA">
              <w:rPr>
                <w:rFonts w:eastAsia="Calibri"/>
                <w:lang w:val="es-PA" w:eastAsia="en-US"/>
              </w:rPr>
              <w:t>0.004</w:t>
            </w:r>
          </w:p>
        </w:tc>
        <w:tc>
          <w:tcPr>
            <w:tcW w:w="2051" w:type="dxa"/>
          </w:tcPr>
          <w:p w14:paraId="07A918B2" w14:textId="77777777" w:rsidR="00867A71" w:rsidRPr="00DC71CA" w:rsidRDefault="00867A71" w:rsidP="00867A71">
            <w:pPr>
              <w:jc w:val="both"/>
              <w:rPr>
                <w:rFonts w:eastAsia="Calibri"/>
                <w:lang w:val="es-PA" w:eastAsia="en-US"/>
              </w:rPr>
            </w:pPr>
            <w:r w:rsidRPr="00DC71CA">
              <w:rPr>
                <w:rFonts w:eastAsia="Calibri"/>
                <w:lang w:val="es-PA" w:eastAsia="en-US"/>
              </w:rPr>
              <w:t>Mayor vulnerabilidad en adultos mayores</w:t>
            </w:r>
          </w:p>
        </w:tc>
      </w:tr>
      <w:tr w:rsidR="00867A71" w:rsidRPr="00DC71CA" w14:paraId="6DA45596" w14:textId="77777777" w:rsidTr="00C56F97">
        <w:tc>
          <w:tcPr>
            <w:tcW w:w="1696" w:type="dxa"/>
          </w:tcPr>
          <w:p w14:paraId="13556C2B" w14:textId="77777777" w:rsidR="00867A71" w:rsidRPr="00DC71CA" w:rsidRDefault="00867A71" w:rsidP="00867A71">
            <w:pPr>
              <w:jc w:val="center"/>
              <w:rPr>
                <w:rFonts w:eastAsia="Calibri"/>
                <w:lang w:val="es-PA" w:eastAsia="en-US"/>
              </w:rPr>
            </w:pPr>
            <w:r w:rsidRPr="00DC71CA">
              <w:rPr>
                <w:rFonts w:eastAsia="Calibri"/>
                <w:lang w:val="es-PA" w:eastAsia="en-US"/>
              </w:rPr>
              <w:t>≥ 2 comorbilidades</w:t>
            </w:r>
          </w:p>
        </w:tc>
        <w:tc>
          <w:tcPr>
            <w:tcW w:w="685" w:type="dxa"/>
          </w:tcPr>
          <w:p w14:paraId="4F235B1A" w14:textId="77777777" w:rsidR="00867A71" w:rsidRPr="00DC71CA" w:rsidRDefault="00867A71" w:rsidP="00867A71">
            <w:pPr>
              <w:jc w:val="center"/>
              <w:rPr>
                <w:rFonts w:eastAsia="Calibri"/>
                <w:lang w:val="es-PA" w:eastAsia="en-US"/>
              </w:rPr>
            </w:pPr>
            <w:r w:rsidRPr="00DC71CA">
              <w:rPr>
                <w:rFonts w:eastAsia="Calibri"/>
                <w:lang w:val="es-PA" w:eastAsia="en-US"/>
              </w:rPr>
              <w:t>2.1</w:t>
            </w:r>
          </w:p>
        </w:tc>
        <w:tc>
          <w:tcPr>
            <w:tcW w:w="988" w:type="dxa"/>
          </w:tcPr>
          <w:p w14:paraId="1A6AD81A" w14:textId="77777777" w:rsidR="00867A71" w:rsidRPr="00DC71CA" w:rsidRDefault="00867A71" w:rsidP="00867A71">
            <w:pPr>
              <w:jc w:val="center"/>
              <w:rPr>
                <w:rFonts w:eastAsia="Calibri"/>
                <w:lang w:val="es-PA" w:eastAsia="en-US"/>
              </w:rPr>
            </w:pPr>
            <w:r w:rsidRPr="00DC71CA">
              <w:rPr>
                <w:rFonts w:eastAsia="Calibri"/>
                <w:lang w:val="es-PA" w:eastAsia="en-US"/>
              </w:rPr>
              <w:t>1.3–3.4</w:t>
            </w:r>
          </w:p>
        </w:tc>
        <w:tc>
          <w:tcPr>
            <w:tcW w:w="1150" w:type="dxa"/>
          </w:tcPr>
          <w:p w14:paraId="0FF12741" w14:textId="77777777" w:rsidR="00867A71" w:rsidRPr="00DC71CA" w:rsidRDefault="00867A71" w:rsidP="00867A71">
            <w:pPr>
              <w:jc w:val="center"/>
              <w:rPr>
                <w:rFonts w:eastAsia="Calibri"/>
                <w:lang w:val="es-PA" w:eastAsia="en-US"/>
              </w:rPr>
            </w:pPr>
            <w:r w:rsidRPr="00DC71CA">
              <w:rPr>
                <w:rFonts w:eastAsia="Calibri"/>
                <w:lang w:val="es-PA" w:eastAsia="en-US"/>
              </w:rPr>
              <w:t>0.002</w:t>
            </w:r>
          </w:p>
        </w:tc>
        <w:tc>
          <w:tcPr>
            <w:tcW w:w="2051" w:type="dxa"/>
          </w:tcPr>
          <w:p w14:paraId="317B98DE" w14:textId="77777777" w:rsidR="00867A71" w:rsidRPr="00DC71CA" w:rsidRDefault="00867A71" w:rsidP="00867A71">
            <w:pPr>
              <w:jc w:val="both"/>
              <w:rPr>
                <w:rFonts w:eastAsia="Calibri"/>
                <w:lang w:val="es-PA" w:eastAsia="en-US"/>
              </w:rPr>
            </w:pPr>
            <w:r w:rsidRPr="00DC71CA">
              <w:rPr>
                <w:rFonts w:eastAsia="Calibri"/>
                <w:lang w:val="es-PA" w:eastAsia="en-US"/>
              </w:rPr>
              <w:t>Riesgo elevado en pacientes con múltiples condiciones crónicas</w:t>
            </w:r>
          </w:p>
        </w:tc>
      </w:tr>
      <w:tr w:rsidR="00867A71" w:rsidRPr="00DC71CA" w14:paraId="3A5EB756" w14:textId="77777777" w:rsidTr="00C56F97">
        <w:tc>
          <w:tcPr>
            <w:tcW w:w="1696" w:type="dxa"/>
          </w:tcPr>
          <w:p w14:paraId="54744CA2" w14:textId="77777777" w:rsidR="00867A71" w:rsidRPr="00DC71CA" w:rsidRDefault="00867A71" w:rsidP="00867A71">
            <w:pPr>
              <w:jc w:val="center"/>
              <w:rPr>
                <w:rFonts w:eastAsia="Calibri"/>
                <w:lang w:val="es-PA" w:eastAsia="en-US"/>
              </w:rPr>
            </w:pPr>
            <w:r w:rsidRPr="00DC71CA">
              <w:rPr>
                <w:rFonts w:eastAsia="Calibri"/>
                <w:lang w:val="es-PA" w:eastAsia="en-US"/>
              </w:rPr>
              <w:t>Resistencia antimicrobiana</w:t>
            </w:r>
          </w:p>
        </w:tc>
        <w:tc>
          <w:tcPr>
            <w:tcW w:w="685" w:type="dxa"/>
          </w:tcPr>
          <w:p w14:paraId="0CACC77C" w14:textId="77777777" w:rsidR="00867A71" w:rsidRPr="00DC71CA" w:rsidRDefault="00867A71" w:rsidP="00867A71">
            <w:pPr>
              <w:jc w:val="center"/>
              <w:rPr>
                <w:rFonts w:eastAsia="Calibri"/>
                <w:lang w:val="es-PA" w:eastAsia="en-US"/>
              </w:rPr>
            </w:pPr>
            <w:r w:rsidRPr="00DC71CA">
              <w:rPr>
                <w:rFonts w:eastAsia="Calibri"/>
                <w:lang w:val="es-PA" w:eastAsia="en-US"/>
              </w:rPr>
              <w:t>2.5</w:t>
            </w:r>
          </w:p>
        </w:tc>
        <w:tc>
          <w:tcPr>
            <w:tcW w:w="988" w:type="dxa"/>
          </w:tcPr>
          <w:p w14:paraId="5B6D9159" w14:textId="77777777" w:rsidR="00867A71" w:rsidRPr="00DC71CA" w:rsidRDefault="00867A71" w:rsidP="00867A71">
            <w:pPr>
              <w:jc w:val="center"/>
              <w:rPr>
                <w:rFonts w:eastAsia="Calibri"/>
                <w:lang w:val="es-PA" w:eastAsia="en-US"/>
              </w:rPr>
            </w:pPr>
            <w:r w:rsidRPr="00DC71CA">
              <w:rPr>
                <w:rFonts w:eastAsia="Calibri"/>
                <w:lang w:val="es-PA" w:eastAsia="en-US"/>
              </w:rPr>
              <w:t>1.6–4.0</w:t>
            </w:r>
          </w:p>
        </w:tc>
        <w:tc>
          <w:tcPr>
            <w:tcW w:w="1150" w:type="dxa"/>
          </w:tcPr>
          <w:p w14:paraId="156DF11B" w14:textId="77777777" w:rsidR="00867A71" w:rsidRPr="00DC71CA" w:rsidRDefault="00867A71" w:rsidP="00867A71">
            <w:pPr>
              <w:jc w:val="center"/>
              <w:rPr>
                <w:rFonts w:eastAsia="Calibri"/>
                <w:lang w:val="es-PA" w:eastAsia="en-US"/>
              </w:rPr>
            </w:pPr>
            <w:r w:rsidRPr="00DC71CA">
              <w:rPr>
                <w:rFonts w:eastAsia="Calibri"/>
                <w:lang w:val="es-PA" w:eastAsia="en-US"/>
              </w:rPr>
              <w:t>&lt; 0.001</w:t>
            </w:r>
          </w:p>
        </w:tc>
        <w:tc>
          <w:tcPr>
            <w:tcW w:w="2051" w:type="dxa"/>
          </w:tcPr>
          <w:p w14:paraId="35C75042" w14:textId="77777777" w:rsidR="00867A71" w:rsidRPr="00DC71CA" w:rsidRDefault="00867A71" w:rsidP="00867A71">
            <w:pPr>
              <w:jc w:val="both"/>
              <w:rPr>
                <w:rFonts w:eastAsia="Calibri"/>
                <w:lang w:val="es-PA" w:eastAsia="en-US"/>
              </w:rPr>
            </w:pPr>
            <w:r w:rsidRPr="00DC71CA">
              <w:rPr>
                <w:rFonts w:eastAsia="Calibri"/>
                <w:lang w:val="es-PA" w:eastAsia="en-US"/>
              </w:rPr>
              <w:t>Asociación fuerte con complicaciones clínicas</w:t>
            </w:r>
          </w:p>
        </w:tc>
      </w:tr>
      <w:tr w:rsidR="00867A71" w:rsidRPr="00DC71CA" w14:paraId="2392C352" w14:textId="77777777" w:rsidTr="00C56F97">
        <w:tc>
          <w:tcPr>
            <w:tcW w:w="1696" w:type="dxa"/>
            <w:tcBorders>
              <w:bottom w:val="single" w:sz="4" w:space="0" w:color="auto"/>
            </w:tcBorders>
          </w:tcPr>
          <w:p w14:paraId="5EAC4365" w14:textId="77777777" w:rsidR="00867A71" w:rsidRPr="00DC71CA" w:rsidRDefault="00867A71" w:rsidP="00867A71">
            <w:pPr>
              <w:jc w:val="center"/>
              <w:rPr>
                <w:rFonts w:eastAsia="Calibri"/>
                <w:lang w:val="es-PA" w:eastAsia="en-US"/>
              </w:rPr>
            </w:pPr>
            <w:r w:rsidRPr="00DC71CA">
              <w:rPr>
                <w:rFonts w:eastAsia="Calibri"/>
                <w:lang w:val="es-PA" w:eastAsia="en-US"/>
              </w:rPr>
              <w:t>Tratamiento dirigido (referencia)</w:t>
            </w:r>
          </w:p>
        </w:tc>
        <w:tc>
          <w:tcPr>
            <w:tcW w:w="685" w:type="dxa"/>
            <w:tcBorders>
              <w:bottom w:val="single" w:sz="4" w:space="0" w:color="auto"/>
            </w:tcBorders>
          </w:tcPr>
          <w:p w14:paraId="11A25BC7" w14:textId="77777777" w:rsidR="00867A71" w:rsidRPr="00DC71CA" w:rsidRDefault="00867A71" w:rsidP="00867A71">
            <w:pPr>
              <w:jc w:val="center"/>
              <w:rPr>
                <w:rFonts w:eastAsia="Calibri"/>
                <w:lang w:val="es-PA" w:eastAsia="en-US"/>
              </w:rPr>
            </w:pPr>
            <w:r w:rsidRPr="00DC71CA">
              <w:rPr>
                <w:rFonts w:eastAsia="Calibri"/>
                <w:lang w:val="es-PA" w:eastAsia="en-US"/>
              </w:rPr>
              <w:t>1.0</w:t>
            </w:r>
          </w:p>
        </w:tc>
        <w:tc>
          <w:tcPr>
            <w:tcW w:w="988" w:type="dxa"/>
            <w:tcBorders>
              <w:bottom w:val="single" w:sz="4" w:space="0" w:color="auto"/>
            </w:tcBorders>
          </w:tcPr>
          <w:p w14:paraId="1CA78BDB" w14:textId="77777777" w:rsidR="00867A71" w:rsidRPr="00DC71CA" w:rsidRDefault="00867A71" w:rsidP="00867A71">
            <w:pPr>
              <w:jc w:val="center"/>
              <w:rPr>
                <w:rFonts w:eastAsia="Calibri"/>
                <w:lang w:val="es-PA" w:eastAsia="en-US"/>
              </w:rPr>
            </w:pPr>
            <w:r w:rsidRPr="00DC71CA">
              <w:rPr>
                <w:rFonts w:eastAsia="Calibri"/>
                <w:lang w:val="es-PA" w:eastAsia="en-US"/>
              </w:rPr>
              <w:t>—</w:t>
            </w:r>
          </w:p>
        </w:tc>
        <w:tc>
          <w:tcPr>
            <w:tcW w:w="1150" w:type="dxa"/>
            <w:tcBorders>
              <w:bottom w:val="single" w:sz="4" w:space="0" w:color="auto"/>
            </w:tcBorders>
          </w:tcPr>
          <w:p w14:paraId="62AD0AA0" w14:textId="77777777" w:rsidR="00867A71" w:rsidRPr="00DC71CA" w:rsidRDefault="00867A71" w:rsidP="00867A71">
            <w:pPr>
              <w:jc w:val="center"/>
              <w:rPr>
                <w:rFonts w:eastAsia="Calibri"/>
                <w:lang w:val="es-PA" w:eastAsia="en-US"/>
              </w:rPr>
            </w:pPr>
            <w:r w:rsidRPr="00DC71CA">
              <w:rPr>
                <w:rFonts w:eastAsia="Calibri"/>
                <w:lang w:val="es-PA" w:eastAsia="en-US"/>
              </w:rPr>
              <w:t>—</w:t>
            </w:r>
          </w:p>
        </w:tc>
        <w:tc>
          <w:tcPr>
            <w:tcW w:w="2051" w:type="dxa"/>
            <w:tcBorders>
              <w:bottom w:val="single" w:sz="4" w:space="0" w:color="auto"/>
            </w:tcBorders>
          </w:tcPr>
          <w:p w14:paraId="237D9390" w14:textId="77777777" w:rsidR="00867A71" w:rsidRPr="00DC71CA" w:rsidRDefault="00867A71" w:rsidP="00867A71">
            <w:pPr>
              <w:jc w:val="both"/>
              <w:rPr>
                <w:rFonts w:eastAsia="Calibri"/>
                <w:lang w:val="es-PA" w:eastAsia="en-US"/>
              </w:rPr>
            </w:pPr>
            <w:r w:rsidRPr="00DC71CA">
              <w:rPr>
                <w:rFonts w:eastAsia="Calibri"/>
                <w:lang w:val="es-PA" w:eastAsia="en-US"/>
              </w:rPr>
              <w:t>Categoría de referencia</w:t>
            </w:r>
          </w:p>
        </w:tc>
      </w:tr>
    </w:tbl>
    <w:p w14:paraId="505BE99E" w14:textId="1EAE1C1D" w:rsidR="00867A71" w:rsidRDefault="00C56F97" w:rsidP="00867A71">
      <w:pPr>
        <w:spacing w:line="259" w:lineRule="auto"/>
        <w:jc w:val="both"/>
        <w:rPr>
          <w:rFonts w:eastAsia="Calibri"/>
          <w:sz w:val="16"/>
          <w:szCs w:val="16"/>
          <w:lang w:val="es-PA" w:eastAsia="en-US"/>
        </w:rPr>
      </w:pPr>
      <w:r w:rsidRPr="00974EA8">
        <w:rPr>
          <w:rFonts w:eastAsia="Calibri"/>
          <w:b/>
          <w:bCs/>
          <w:sz w:val="16"/>
          <w:szCs w:val="16"/>
          <w:lang w:val="es-PA" w:eastAsia="en-US"/>
        </w:rPr>
        <w:t>Fuente:</w:t>
      </w:r>
      <w:r w:rsidRPr="00974EA8">
        <w:rPr>
          <w:rFonts w:eastAsia="Calibri"/>
          <w:sz w:val="16"/>
          <w:szCs w:val="16"/>
          <w:lang w:val="es-PA" w:eastAsia="en-US"/>
        </w:rPr>
        <w:t xml:space="preserve"> Elaboración propia</w:t>
      </w:r>
    </w:p>
    <w:p w14:paraId="4E4E894A" w14:textId="77777777" w:rsidR="001979CD" w:rsidRPr="00974EA8" w:rsidRDefault="001979CD" w:rsidP="00867A71">
      <w:pPr>
        <w:spacing w:line="259" w:lineRule="auto"/>
        <w:jc w:val="both"/>
        <w:rPr>
          <w:rFonts w:eastAsia="Calibri"/>
          <w:sz w:val="16"/>
          <w:szCs w:val="16"/>
          <w:lang w:val="es-PA" w:eastAsia="en-US"/>
        </w:rPr>
      </w:pPr>
    </w:p>
    <w:p w14:paraId="671A3E50" w14:textId="77777777" w:rsidR="002D4B0D" w:rsidRDefault="00867A71" w:rsidP="00867A71">
      <w:pPr>
        <w:spacing w:line="259" w:lineRule="auto"/>
        <w:jc w:val="both"/>
        <w:rPr>
          <w:rFonts w:eastAsia="Calibri"/>
          <w:lang w:val="es-PA" w:eastAsia="en-US"/>
        </w:rPr>
      </w:pPr>
      <w:r w:rsidRPr="00DC71CA">
        <w:rPr>
          <w:rFonts w:eastAsia="Calibri"/>
          <w:lang w:val="es-PA" w:eastAsia="en-US"/>
        </w:rPr>
        <w:t xml:space="preserve">Los resultados del análisis multivariado revelan asociaciones robustas entre la prescripción empírica, la resistencia antimicrobiana y la ocurrencia de desenlaces clínicos adversos, especialmente en pacientes vulnerables. Para complementar la interpretación estadística y facilitar la comprensión visual de estos hallazgos, se presentan a continuación dos figuras que sintetizan los patrones epidemiológicos más relevantes. </w:t>
      </w:r>
    </w:p>
    <w:p w14:paraId="66561EC2" w14:textId="65C8E586" w:rsidR="00DC71CA" w:rsidRDefault="00867A71" w:rsidP="00867A71">
      <w:pPr>
        <w:spacing w:line="259" w:lineRule="auto"/>
        <w:jc w:val="both"/>
        <w:rPr>
          <w:rFonts w:eastAsia="Calibri"/>
          <w:lang w:val="es-PA" w:eastAsia="en-US"/>
        </w:rPr>
      </w:pPr>
      <w:r w:rsidRPr="00DC71CA">
        <w:rPr>
          <w:rFonts w:eastAsia="Calibri"/>
          <w:lang w:val="es-PA" w:eastAsia="en-US"/>
        </w:rPr>
        <w:t xml:space="preserve">La Figura 1, mediante un gráfico tipo Forest </w:t>
      </w:r>
      <w:proofErr w:type="spellStart"/>
      <w:r w:rsidRPr="00DC71CA">
        <w:rPr>
          <w:rFonts w:eastAsia="Calibri"/>
          <w:lang w:val="es-PA" w:eastAsia="en-US"/>
        </w:rPr>
        <w:t>Plot</w:t>
      </w:r>
      <w:proofErr w:type="spellEnd"/>
      <w:r w:rsidRPr="00DC71CA">
        <w:rPr>
          <w:rFonts w:eastAsia="Calibri"/>
          <w:lang w:val="es-PA" w:eastAsia="en-US"/>
        </w:rPr>
        <w:t xml:space="preserve">, representa la magnitud del riesgo ajustado de desenlaces adversos asociado a la prescripción empírica, reforzando la necesidad de implementar </w:t>
      </w:r>
      <w:r w:rsidRPr="00DC71CA">
        <w:rPr>
          <w:rFonts w:eastAsia="Calibri"/>
          <w:lang w:val="es-PA" w:eastAsia="en-US"/>
        </w:rPr>
        <w:lastRenderedPageBreak/>
        <w:t xml:space="preserve">estrategias de prescripción racional basadas en evidencia microbiológica. La Figura 2 muestra la distribución conjunta de resistencia antimicrobiana, tipo de prescripción y frecuencia de complicaciones clínicas, evidenciando el impacto negativo del tratamiento no dirigido. </w:t>
      </w:r>
    </w:p>
    <w:p w14:paraId="711E4184" w14:textId="7BBB9528" w:rsidR="00867A71" w:rsidRPr="00DC71CA" w:rsidRDefault="00867A71" w:rsidP="00867A71">
      <w:pPr>
        <w:spacing w:line="259" w:lineRule="auto"/>
        <w:jc w:val="both"/>
        <w:rPr>
          <w:rFonts w:eastAsia="Calibri"/>
          <w:lang w:val="es-PA" w:eastAsia="en-US"/>
        </w:rPr>
      </w:pPr>
      <w:r w:rsidRPr="00DC71CA">
        <w:rPr>
          <w:rFonts w:eastAsia="Calibri"/>
          <w:lang w:val="es-PA" w:eastAsia="en-US"/>
        </w:rPr>
        <w:t>Estas representaciones gráficas no solo ilustran la carga clínica derivada del uso empírico de antimicrobianos, sino que también aportan evidencia crítica para el rediseño de políticas terapéuticas en el primer nivel de atención.</w:t>
      </w:r>
    </w:p>
    <w:p w14:paraId="30C44D1B" w14:textId="77777777" w:rsidR="00867A71" w:rsidRPr="00DC71CA" w:rsidRDefault="00867A71" w:rsidP="00867A71">
      <w:pPr>
        <w:spacing w:line="259" w:lineRule="auto"/>
        <w:jc w:val="both"/>
        <w:rPr>
          <w:rFonts w:eastAsia="Calibri"/>
          <w:lang w:val="es-PA" w:eastAsia="en-US"/>
        </w:rPr>
      </w:pPr>
      <w:r w:rsidRPr="00DC71CA">
        <w:rPr>
          <w:rFonts w:eastAsia="Calibri"/>
          <w:lang w:val="es-PA" w:eastAsia="en-US"/>
        </w:rPr>
        <w:t>La Figura 1, presenta el análisis de regresión logística, donde se observa una asociación significativa entre la prescripción empírica y los desenlaces adversos.</w:t>
      </w:r>
    </w:p>
    <w:p w14:paraId="577E83FA" w14:textId="26F3AF2B" w:rsidR="00974EA8" w:rsidRDefault="00DC71CA" w:rsidP="00867A71">
      <w:pPr>
        <w:spacing w:line="259" w:lineRule="auto"/>
        <w:jc w:val="both"/>
        <w:rPr>
          <w:rFonts w:eastAsia="Calibri"/>
          <w:sz w:val="22"/>
          <w:szCs w:val="22"/>
          <w:lang w:val="es-PA" w:eastAsia="en-US"/>
        </w:rPr>
      </w:pPr>
      <w:r w:rsidRPr="00DC71CA">
        <w:rPr>
          <w:rFonts w:eastAsia="Calibri"/>
          <w:b/>
          <w:bCs/>
          <w:sz w:val="22"/>
          <w:szCs w:val="22"/>
          <w:lang w:val="es-PA" w:eastAsia="en-US"/>
        </w:rPr>
        <w:t>Figura 1</w:t>
      </w:r>
    </w:p>
    <w:p w14:paraId="75CECADD" w14:textId="4543DCE8" w:rsidR="00867A71" w:rsidRPr="00974EA8" w:rsidRDefault="00DC71CA" w:rsidP="00867A71">
      <w:pPr>
        <w:spacing w:line="259" w:lineRule="auto"/>
        <w:jc w:val="both"/>
        <w:rPr>
          <w:rFonts w:eastAsia="Calibri"/>
          <w:i/>
          <w:iCs/>
          <w:sz w:val="22"/>
          <w:szCs w:val="22"/>
          <w:lang w:val="es-PA" w:eastAsia="en-US"/>
        </w:rPr>
      </w:pPr>
      <w:r w:rsidRPr="00974EA8">
        <w:rPr>
          <w:rFonts w:eastAsia="Calibri"/>
          <w:i/>
          <w:iCs/>
          <w:sz w:val="22"/>
          <w:szCs w:val="22"/>
          <w:lang w:val="es-PA" w:eastAsia="en-US"/>
        </w:rPr>
        <w:t>Análisis de regresión logística</w:t>
      </w:r>
    </w:p>
    <w:p w14:paraId="19497A1F" w14:textId="77777777" w:rsidR="00867A71" w:rsidRPr="00DC71CA" w:rsidRDefault="00867A71" w:rsidP="00867A71">
      <w:pPr>
        <w:spacing w:line="259" w:lineRule="auto"/>
        <w:jc w:val="both"/>
        <w:rPr>
          <w:rFonts w:eastAsia="Calibri"/>
          <w:b/>
          <w:bCs/>
          <w:lang w:val="es-PA" w:eastAsia="en-US"/>
        </w:rPr>
      </w:pPr>
      <w:r w:rsidRPr="00DC71CA">
        <w:rPr>
          <w:rFonts w:eastAsia="Calibri"/>
          <w:noProof/>
          <w:lang w:val="es-PA" w:eastAsia="en-US"/>
        </w:rPr>
        <w:drawing>
          <wp:inline distT="0" distB="0" distL="0" distR="0" wp14:anchorId="30236D51" wp14:editId="5D6B54D7">
            <wp:extent cx="4140835" cy="2074985"/>
            <wp:effectExtent l="0" t="0" r="0" b="1905"/>
            <wp:docPr id="197947877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54901" cy="2082033"/>
                    </a:xfrm>
                    <a:prstGeom prst="rect">
                      <a:avLst/>
                    </a:prstGeom>
                    <a:noFill/>
                    <a:ln>
                      <a:noFill/>
                    </a:ln>
                  </pic:spPr>
                </pic:pic>
              </a:graphicData>
            </a:graphic>
          </wp:inline>
        </w:drawing>
      </w:r>
    </w:p>
    <w:p w14:paraId="32DEB83A" w14:textId="13356186" w:rsidR="00867A71" w:rsidRDefault="00867A71" w:rsidP="00867A71">
      <w:pPr>
        <w:spacing w:line="259" w:lineRule="auto"/>
        <w:jc w:val="both"/>
        <w:rPr>
          <w:rFonts w:eastAsia="Calibri"/>
          <w:sz w:val="16"/>
          <w:szCs w:val="16"/>
          <w:lang w:val="es-PA" w:eastAsia="en-US"/>
        </w:rPr>
      </w:pPr>
      <w:r w:rsidRPr="00DC71CA">
        <w:rPr>
          <w:rFonts w:eastAsia="Calibri"/>
          <w:b/>
          <w:bCs/>
          <w:sz w:val="16"/>
          <w:szCs w:val="16"/>
          <w:lang w:val="es-PA" w:eastAsia="en-US"/>
        </w:rPr>
        <w:t>F</w:t>
      </w:r>
      <w:r w:rsidR="005D77CA">
        <w:rPr>
          <w:rFonts w:eastAsia="Calibri"/>
          <w:b/>
          <w:bCs/>
          <w:sz w:val="16"/>
          <w:szCs w:val="16"/>
          <w:lang w:val="es-PA" w:eastAsia="en-US"/>
        </w:rPr>
        <w:t>uente</w:t>
      </w:r>
      <w:r w:rsidRPr="00DC71CA">
        <w:rPr>
          <w:rFonts w:eastAsia="Calibri"/>
          <w:b/>
          <w:bCs/>
          <w:sz w:val="16"/>
          <w:szCs w:val="16"/>
          <w:lang w:val="es-PA" w:eastAsia="en-US"/>
        </w:rPr>
        <w:t>:</w:t>
      </w:r>
      <w:r w:rsidRPr="00DC71CA">
        <w:rPr>
          <w:rFonts w:eastAsia="Calibri"/>
          <w:sz w:val="16"/>
          <w:szCs w:val="16"/>
          <w:lang w:val="es-PA" w:eastAsia="en-US"/>
        </w:rPr>
        <w:t xml:space="preserve"> </w:t>
      </w:r>
      <w:r w:rsidRPr="005D77CA">
        <w:rPr>
          <w:rFonts w:eastAsia="Calibri"/>
          <w:sz w:val="16"/>
          <w:szCs w:val="16"/>
          <w:lang w:val="es-PA" w:eastAsia="en-US"/>
        </w:rPr>
        <w:t xml:space="preserve">Forest </w:t>
      </w:r>
      <w:proofErr w:type="spellStart"/>
      <w:r w:rsidRPr="005D77CA">
        <w:rPr>
          <w:rFonts w:eastAsia="Calibri"/>
          <w:sz w:val="16"/>
          <w:szCs w:val="16"/>
          <w:lang w:val="es-PA" w:eastAsia="en-US"/>
        </w:rPr>
        <w:t>Plot</w:t>
      </w:r>
      <w:proofErr w:type="spellEnd"/>
      <w:r w:rsidRPr="005D77CA">
        <w:rPr>
          <w:rFonts w:eastAsia="Calibri"/>
          <w:sz w:val="16"/>
          <w:szCs w:val="16"/>
          <w:lang w:val="es-PA" w:eastAsia="en-US"/>
        </w:rPr>
        <w:t xml:space="preserve"> del riesgo de desenlaces adversos asociados a la prescripción empírica (OR: 2.3; IC 95 %: 1.5–3.6).</w:t>
      </w:r>
    </w:p>
    <w:p w14:paraId="2D63563A" w14:textId="77777777" w:rsidR="001979CD" w:rsidRPr="00DC71CA" w:rsidRDefault="001979CD" w:rsidP="00867A71">
      <w:pPr>
        <w:spacing w:line="259" w:lineRule="auto"/>
        <w:jc w:val="both"/>
        <w:rPr>
          <w:rFonts w:eastAsia="Calibri"/>
          <w:i/>
          <w:iCs/>
          <w:sz w:val="16"/>
          <w:szCs w:val="16"/>
          <w:lang w:val="es-PA" w:eastAsia="en-US"/>
        </w:rPr>
      </w:pPr>
    </w:p>
    <w:p w14:paraId="254E4F0E" w14:textId="77777777" w:rsidR="00867A71" w:rsidRPr="00DC71CA" w:rsidRDefault="00867A71" w:rsidP="00867A71">
      <w:pPr>
        <w:spacing w:line="259" w:lineRule="auto"/>
        <w:jc w:val="both"/>
        <w:rPr>
          <w:rFonts w:eastAsia="Calibri"/>
          <w:lang w:val="es-PA" w:eastAsia="en-US"/>
        </w:rPr>
      </w:pPr>
      <w:r w:rsidRPr="00DC71CA">
        <w:rPr>
          <w:rFonts w:eastAsia="Calibri"/>
          <w:lang w:val="es-PA" w:eastAsia="en-US"/>
        </w:rPr>
        <w:t>La prescripción empírica se asoció significativamente con un mayor riesgo de desenlaces adversos (OR: 2.3; IC 95 %: 1.5–3.6), especialmente en adultos mayores y pacientes con comorbilidades, lo que evidencia la vulnerabilidad de estos grupos ante tratamientos no dirigidos. Este hallazgo refuerza la necesidad de fortalecer la vigilancia microbiológica en atención primaria y de implementar protocolos de prescripción racional, ya que el uso de antimicrobianos sin confirmación microbiológica puede favorecer la selección de cepas resistentes y comprometer la evolución clínica, incrementando la carga sobre los servicios de salud.</w:t>
      </w:r>
    </w:p>
    <w:p w14:paraId="483B9896" w14:textId="10DA32B4" w:rsidR="00867A71" w:rsidRDefault="00867A71" w:rsidP="00867A71">
      <w:pPr>
        <w:spacing w:line="259" w:lineRule="auto"/>
        <w:jc w:val="both"/>
        <w:rPr>
          <w:rFonts w:eastAsia="Calibri"/>
          <w:lang w:val="es-PA" w:eastAsia="en-US"/>
        </w:rPr>
      </w:pPr>
      <w:r w:rsidRPr="00DC71CA">
        <w:rPr>
          <w:rFonts w:eastAsia="Calibri"/>
          <w:lang w:val="es-PA" w:eastAsia="en-US"/>
        </w:rPr>
        <w:t xml:space="preserve">La Figura 2, muestra la proporción de infecciones urinarias con resistencia a antibióticos de primera línea, así como la frecuencia de </w:t>
      </w:r>
      <w:r w:rsidRPr="00DC71CA">
        <w:rPr>
          <w:rFonts w:eastAsia="Calibri"/>
          <w:lang w:val="es-PA" w:eastAsia="en-US"/>
        </w:rPr>
        <w:lastRenderedPageBreak/>
        <w:t>prescripción empírica y las tasas de complicaciones según la presencia o ausencia de resistencia antimicrobiana.</w:t>
      </w:r>
      <w:r w:rsidR="005D77CA" w:rsidRPr="005D77CA">
        <w:t xml:space="preserve"> </w:t>
      </w:r>
      <w:r w:rsidR="005D77CA">
        <w:t>En la f</w:t>
      </w:r>
      <w:proofErr w:type="spellStart"/>
      <w:r w:rsidR="004F76C0" w:rsidRPr="005D77CA">
        <w:rPr>
          <w:rFonts w:eastAsia="Calibri"/>
          <w:lang w:val="es-PA" w:eastAsia="en-US"/>
        </w:rPr>
        <w:t>igura</w:t>
      </w:r>
      <w:proofErr w:type="spellEnd"/>
      <w:r w:rsidR="005D77CA" w:rsidRPr="005D77CA">
        <w:rPr>
          <w:rFonts w:eastAsia="Calibri"/>
          <w:lang w:val="es-PA" w:eastAsia="en-US"/>
        </w:rPr>
        <w:t xml:space="preserve"> 2</w:t>
      </w:r>
      <w:r w:rsidR="005D77CA">
        <w:rPr>
          <w:rFonts w:eastAsia="Calibri"/>
          <w:lang w:val="es-PA" w:eastAsia="en-US"/>
        </w:rPr>
        <w:t xml:space="preserve"> se analiza la d</w:t>
      </w:r>
      <w:r w:rsidR="005D77CA" w:rsidRPr="005D77CA">
        <w:rPr>
          <w:rFonts w:eastAsia="Calibri"/>
          <w:lang w:val="es-PA" w:eastAsia="en-US"/>
        </w:rPr>
        <w:t>istribución de resistencia antimicrobiana, prescripción empírica y complicaciones en infecciones urinarias.</w:t>
      </w:r>
    </w:p>
    <w:p w14:paraId="1B3316FC" w14:textId="77777777" w:rsidR="005D77CA" w:rsidRDefault="005D77CA" w:rsidP="00DC71CA">
      <w:pPr>
        <w:rPr>
          <w:rFonts w:eastAsia="Calibri"/>
          <w:b/>
          <w:bCs/>
          <w:sz w:val="22"/>
          <w:szCs w:val="22"/>
          <w:lang w:val="es-PA" w:eastAsia="en-US"/>
        </w:rPr>
      </w:pPr>
    </w:p>
    <w:p w14:paraId="0CDA232C" w14:textId="77777777" w:rsidR="00C56F97" w:rsidRDefault="00DC71CA" w:rsidP="00DC71CA">
      <w:pPr>
        <w:rPr>
          <w:rFonts w:eastAsia="Calibri"/>
          <w:b/>
          <w:bCs/>
          <w:sz w:val="22"/>
          <w:szCs w:val="22"/>
          <w:lang w:val="es-PA" w:eastAsia="en-US"/>
        </w:rPr>
      </w:pPr>
      <w:r w:rsidRPr="00DC71CA">
        <w:rPr>
          <w:rFonts w:eastAsia="Calibri"/>
          <w:b/>
          <w:bCs/>
          <w:sz w:val="22"/>
          <w:szCs w:val="22"/>
          <w:lang w:val="es-PA" w:eastAsia="en-US"/>
        </w:rPr>
        <w:t>Figura 2</w:t>
      </w:r>
    </w:p>
    <w:p w14:paraId="7375DD7A" w14:textId="002454E9" w:rsidR="00DC71CA" w:rsidRPr="00974EA8" w:rsidRDefault="00DC71CA" w:rsidP="00DC71CA">
      <w:pPr>
        <w:rPr>
          <w:rFonts w:eastAsia="Calibri"/>
          <w:i/>
          <w:iCs/>
          <w:sz w:val="22"/>
          <w:szCs w:val="22"/>
          <w:lang w:val="es-PA" w:eastAsia="en-US"/>
        </w:rPr>
      </w:pPr>
      <w:r w:rsidRPr="00974EA8">
        <w:rPr>
          <w:rFonts w:eastAsia="Calibri"/>
          <w:i/>
          <w:iCs/>
          <w:sz w:val="22"/>
          <w:szCs w:val="22"/>
          <w:lang w:val="es-PA" w:eastAsia="en-US"/>
        </w:rPr>
        <w:t>Distribución de resistencia antimicrobiana, prescripción empírica y complicaciones en infecciones urinarias.</w:t>
      </w:r>
    </w:p>
    <w:p w14:paraId="31599DCA" w14:textId="77777777" w:rsidR="00867A71" w:rsidRPr="00DC71CA" w:rsidRDefault="00867A71" w:rsidP="00867A71">
      <w:pPr>
        <w:spacing w:line="259" w:lineRule="auto"/>
        <w:jc w:val="both"/>
        <w:rPr>
          <w:rFonts w:eastAsia="Calibri"/>
          <w:lang w:val="es-PA" w:eastAsia="en-US"/>
        </w:rPr>
      </w:pPr>
      <w:r w:rsidRPr="00DC71CA">
        <w:rPr>
          <w:rFonts w:eastAsia="Calibri"/>
          <w:noProof/>
          <w:lang w:val="es-PA" w:eastAsia="en-US"/>
        </w:rPr>
        <w:drawing>
          <wp:inline distT="0" distB="0" distL="0" distR="0" wp14:anchorId="6C8FDC91" wp14:editId="060B6AE9">
            <wp:extent cx="4161005" cy="3349869"/>
            <wp:effectExtent l="0" t="0" r="0" b="3175"/>
            <wp:docPr id="56416813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86340" cy="3370265"/>
                    </a:xfrm>
                    <a:prstGeom prst="rect">
                      <a:avLst/>
                    </a:prstGeom>
                    <a:noFill/>
                    <a:ln>
                      <a:noFill/>
                    </a:ln>
                  </pic:spPr>
                </pic:pic>
              </a:graphicData>
            </a:graphic>
          </wp:inline>
        </w:drawing>
      </w:r>
    </w:p>
    <w:p w14:paraId="46C977B2" w14:textId="77777777" w:rsidR="00DC71CA" w:rsidRDefault="00DC71CA" w:rsidP="00867A71">
      <w:pPr>
        <w:spacing w:line="259" w:lineRule="auto"/>
        <w:jc w:val="both"/>
        <w:rPr>
          <w:rFonts w:eastAsia="Calibri"/>
          <w:sz w:val="16"/>
          <w:szCs w:val="16"/>
          <w:lang w:val="es-PA" w:eastAsia="en-US"/>
        </w:rPr>
      </w:pPr>
      <w:r w:rsidRPr="00DC71CA">
        <w:rPr>
          <w:rFonts w:eastAsia="Calibri"/>
          <w:b/>
          <w:bCs/>
          <w:sz w:val="16"/>
          <w:szCs w:val="16"/>
          <w:lang w:val="es-PA" w:eastAsia="en-US"/>
        </w:rPr>
        <w:t>Fuente:</w:t>
      </w:r>
      <w:r w:rsidRPr="00DC71CA">
        <w:rPr>
          <w:rFonts w:eastAsia="Calibri"/>
          <w:sz w:val="16"/>
          <w:szCs w:val="16"/>
          <w:lang w:val="es-PA" w:eastAsia="en-US"/>
        </w:rPr>
        <w:t xml:space="preserve"> elaboración propia.</w:t>
      </w:r>
    </w:p>
    <w:p w14:paraId="6E107E90" w14:textId="77777777" w:rsidR="00DC71CA" w:rsidRPr="00DC71CA" w:rsidRDefault="00DC71CA" w:rsidP="00867A71">
      <w:pPr>
        <w:spacing w:line="259" w:lineRule="auto"/>
        <w:jc w:val="both"/>
        <w:rPr>
          <w:rFonts w:eastAsia="Calibri"/>
          <w:sz w:val="16"/>
          <w:szCs w:val="16"/>
          <w:lang w:val="es-PA" w:eastAsia="en-US"/>
        </w:rPr>
      </w:pPr>
    </w:p>
    <w:p w14:paraId="2F6850BE" w14:textId="77777777" w:rsidR="00DC71CA" w:rsidRDefault="00867A71" w:rsidP="00867A71">
      <w:pPr>
        <w:spacing w:line="259" w:lineRule="auto"/>
        <w:jc w:val="both"/>
        <w:rPr>
          <w:rFonts w:eastAsia="Calibri"/>
          <w:lang w:val="es-PA" w:eastAsia="en-US"/>
        </w:rPr>
      </w:pPr>
      <w:r w:rsidRPr="00DC71CA">
        <w:rPr>
          <w:rFonts w:eastAsia="Calibri"/>
          <w:lang w:val="es-PA" w:eastAsia="en-US"/>
        </w:rPr>
        <w:t xml:space="preserve">Se evidencia patrones críticos en el manejo de las infecciones urinarias en atención primaria. El 38 % de los casos presentó resistencia a antibióticos de primera línea, lo que refleja una presión selectiva significativa sobre los esquemas terapéuticos convencionales. Simultáneamente, el 62 % de las prescripciones fueron empíricas, sin respaldo microbiológico, lo que sugiere una práctica clínica basada en presunciones más que en evidencia diagnóstica. </w:t>
      </w:r>
    </w:p>
    <w:p w14:paraId="064835FD" w14:textId="77777777" w:rsidR="00DC71CA" w:rsidRDefault="00867A71" w:rsidP="00867A71">
      <w:pPr>
        <w:spacing w:line="259" w:lineRule="auto"/>
        <w:jc w:val="both"/>
        <w:rPr>
          <w:rFonts w:eastAsia="Calibri"/>
          <w:lang w:val="es-PA" w:eastAsia="en-US"/>
        </w:rPr>
      </w:pPr>
      <w:r w:rsidRPr="00DC71CA">
        <w:rPr>
          <w:rFonts w:eastAsia="Calibri"/>
          <w:lang w:val="es-PA" w:eastAsia="en-US"/>
        </w:rPr>
        <w:t xml:space="preserve">Esta combinación de alta resistencia y elevada prescripción empírica, configura un escenario epidemiológico preocupante, donde el riesgo de complicaciones se incrementa notablemente. De hecho, los pacientes con resistencia antimicrobiana mostraron una tasa de </w:t>
      </w:r>
      <w:r w:rsidRPr="00DC71CA">
        <w:rPr>
          <w:rFonts w:eastAsia="Calibri"/>
          <w:lang w:val="es-PA" w:eastAsia="en-US"/>
        </w:rPr>
        <w:lastRenderedPageBreak/>
        <w:t xml:space="preserve">complicaciones del 18 %, más del doble que aquellos sin resistencia (7 %; p &lt; 0.001), lo que indica una asociación clínicamente relevante entre resistencia y desenlace adverso. </w:t>
      </w:r>
    </w:p>
    <w:p w14:paraId="69136081" w14:textId="4FEE5BE5" w:rsidR="00867A71" w:rsidRPr="00DC71CA" w:rsidRDefault="00867A71" w:rsidP="00867A71">
      <w:pPr>
        <w:spacing w:line="259" w:lineRule="auto"/>
        <w:jc w:val="both"/>
        <w:rPr>
          <w:rFonts w:eastAsia="Calibri"/>
          <w:lang w:val="es-PA" w:eastAsia="en-US"/>
        </w:rPr>
      </w:pPr>
      <w:r w:rsidRPr="00DC71CA">
        <w:rPr>
          <w:rFonts w:eastAsia="Calibri"/>
          <w:lang w:val="es-PA" w:eastAsia="en-US"/>
        </w:rPr>
        <w:t>Estos hallazgos no solo subrayan la necesidad de fortalecer la vigilancia microbiológica, sino que también justifican la implementación de protocolos de prescripción racional y el uso de guías basadas en sensibilidad local. Desde una perspectiva de salud pública, el impacto científico de esta figura radica en su capacidad para visibilizar la relación directa entre prácticas clínicas empíricas y resultados negativos, aportando evidencia para rediseñar estrategias terapéuticas y políticas de control antimicrobiano.</w:t>
      </w:r>
    </w:p>
    <w:p w14:paraId="276A1825" w14:textId="77777777" w:rsidR="00867A71" w:rsidRPr="00DC71CA" w:rsidRDefault="00867A71" w:rsidP="00867A71">
      <w:pPr>
        <w:spacing w:line="259" w:lineRule="auto"/>
        <w:jc w:val="both"/>
        <w:rPr>
          <w:rFonts w:eastAsia="Calibri"/>
          <w:b/>
          <w:bCs/>
          <w:lang w:val="es-PA" w:eastAsia="en-US"/>
        </w:rPr>
      </w:pPr>
      <w:r w:rsidRPr="00DC71CA">
        <w:rPr>
          <w:rFonts w:eastAsia="Calibri"/>
          <w:b/>
          <w:bCs/>
          <w:lang w:val="es-PA" w:eastAsia="en-US"/>
        </w:rPr>
        <w:t>Conclusiones:</w:t>
      </w:r>
    </w:p>
    <w:p w14:paraId="2C2D10C5" w14:textId="77777777" w:rsidR="00867A71" w:rsidRPr="00DC71CA" w:rsidRDefault="00867A71" w:rsidP="00DC71CA">
      <w:pPr>
        <w:spacing w:after="160" w:line="259" w:lineRule="auto"/>
        <w:contextualSpacing/>
        <w:jc w:val="both"/>
        <w:rPr>
          <w:rFonts w:eastAsia="Calibri"/>
          <w:lang w:val="es-PA" w:eastAsia="en-US"/>
        </w:rPr>
      </w:pPr>
      <w:r w:rsidRPr="00DC71CA">
        <w:rPr>
          <w:rFonts w:eastAsia="Calibri"/>
          <w:lang w:val="es-PA" w:eastAsia="en-US"/>
        </w:rPr>
        <w:t xml:space="preserve">La resistencia antimicrobiana (RAM) en el primer nivel de atención representa una amenaza creciente para la salud pública, debido a su impacto directo en la eficacia terapéutica y en la evolución clínica de infecciones comunes. </w:t>
      </w:r>
    </w:p>
    <w:p w14:paraId="57E91A6D" w14:textId="77777777" w:rsidR="00867A71" w:rsidRPr="00DC71CA" w:rsidRDefault="00867A71" w:rsidP="00DC71CA">
      <w:pPr>
        <w:spacing w:after="160" w:line="259" w:lineRule="auto"/>
        <w:contextualSpacing/>
        <w:jc w:val="both"/>
        <w:rPr>
          <w:rFonts w:eastAsia="Calibri"/>
          <w:lang w:val="es-PA" w:eastAsia="en-US"/>
        </w:rPr>
      </w:pPr>
      <w:r w:rsidRPr="00DC71CA">
        <w:rPr>
          <w:rFonts w:eastAsia="Calibri"/>
          <w:lang w:val="es-PA" w:eastAsia="en-US"/>
        </w:rPr>
        <w:t>La alta prevalencia de prescripción empírica sin respaldo microbiológico se ha asociado con un incremento significativo en el riesgo de complicaciones clínicas, especialmente en contextos con limitada capacidad diagnóstica. En este escenario, la medicina familiar desempeña un papel estratégico en la contención de la RAM, mediante la implementación de prácticas de prescripción racional, educación comunitaria orientada al uso responsable de antimicrobianos y fortalecimiento de la vigilancia clínica.</w:t>
      </w:r>
    </w:p>
    <w:p w14:paraId="24A79EAB" w14:textId="77777777" w:rsidR="00867A71" w:rsidRPr="00DC71CA" w:rsidRDefault="00867A71" w:rsidP="00DC71CA">
      <w:pPr>
        <w:spacing w:after="160" w:line="259" w:lineRule="auto"/>
        <w:contextualSpacing/>
        <w:jc w:val="both"/>
        <w:rPr>
          <w:rFonts w:eastAsia="Calibri"/>
          <w:lang w:val="es-PA" w:eastAsia="en-US"/>
        </w:rPr>
      </w:pPr>
      <w:r w:rsidRPr="00DC71CA">
        <w:rPr>
          <w:rFonts w:eastAsia="Calibri"/>
          <w:lang w:val="es-PA" w:eastAsia="en-US"/>
        </w:rPr>
        <w:t xml:space="preserve">Para enfrentar la resistencia antimicrobiana, se requiere una mejora sustancial en la formación médica continua, la adopción de guías clínicas basadas en evidencia actualizada y el acceso oportuno a pruebas microbiológicas en atención primaria. Asimismo, las políticas de salud deben priorizar la articulación efectiva entre niveles asistenciales, promoviendo el uso racional de antimicrobianos y estrategias educativas dirigidas a profesionales y pacientes. </w:t>
      </w:r>
    </w:p>
    <w:p w14:paraId="4D7EBC25" w14:textId="77777777" w:rsidR="00867A71" w:rsidRPr="00DC71CA" w:rsidRDefault="00867A71" w:rsidP="00DC71CA">
      <w:pPr>
        <w:spacing w:after="160" w:line="259" w:lineRule="auto"/>
        <w:contextualSpacing/>
        <w:jc w:val="both"/>
        <w:rPr>
          <w:rFonts w:eastAsia="Calibri"/>
          <w:lang w:val="es-PA" w:eastAsia="en-US"/>
        </w:rPr>
      </w:pPr>
      <w:r w:rsidRPr="00DC71CA">
        <w:rPr>
          <w:rFonts w:eastAsia="Calibri"/>
          <w:lang w:val="es-PA" w:eastAsia="en-US"/>
        </w:rPr>
        <w:t>La incorporación de sistemas de vigilancia microbiológica en el primer nivel de atención permitiría una respuesta más contextualizada, sensible a las dinámicas locales de resistencia y prescripción.</w:t>
      </w:r>
    </w:p>
    <w:p w14:paraId="1204AFDC" w14:textId="77777777" w:rsidR="00867A71" w:rsidRPr="00DC71CA" w:rsidRDefault="00867A71" w:rsidP="00DC71CA">
      <w:pPr>
        <w:spacing w:after="160" w:line="259" w:lineRule="auto"/>
        <w:contextualSpacing/>
        <w:jc w:val="both"/>
        <w:rPr>
          <w:rFonts w:eastAsia="Calibri"/>
          <w:lang w:val="es-PA" w:eastAsia="en-US"/>
        </w:rPr>
      </w:pPr>
      <w:r w:rsidRPr="00DC71CA">
        <w:rPr>
          <w:rFonts w:eastAsia="Calibri"/>
          <w:lang w:val="es-PA" w:eastAsia="en-US"/>
        </w:rPr>
        <w:t xml:space="preserve">Este estudio aporta evidencia empírica relevante para el diseño de intervenciones clínicas y comunitarias orientadas a reducir la RAM desde una perspectiva integral, reforzando el rol de la medicina </w:t>
      </w:r>
      <w:r w:rsidRPr="00DC71CA">
        <w:rPr>
          <w:rFonts w:eastAsia="Calibri"/>
          <w:lang w:val="es-PA" w:eastAsia="en-US"/>
        </w:rPr>
        <w:lastRenderedPageBreak/>
        <w:t>familiar como eje articulador entre la práctica clínica, la salud pública y la gestión sanitaria</w:t>
      </w:r>
    </w:p>
    <w:p w14:paraId="7084125F" w14:textId="77777777" w:rsidR="002D4B0D" w:rsidRDefault="002D4B0D" w:rsidP="00867A71">
      <w:pPr>
        <w:jc w:val="both"/>
        <w:rPr>
          <w:rFonts w:eastAsia="Calibri"/>
          <w:b/>
          <w:bCs/>
          <w:lang w:val="es-PA" w:eastAsia="en-US"/>
        </w:rPr>
      </w:pPr>
    </w:p>
    <w:p w14:paraId="58DB4B49" w14:textId="79A2AAEC" w:rsidR="00867A71" w:rsidRDefault="005D77CA" w:rsidP="00867A71">
      <w:pPr>
        <w:jc w:val="both"/>
        <w:rPr>
          <w:rFonts w:eastAsia="Calibri"/>
          <w:b/>
          <w:bCs/>
          <w:lang w:val="es-PA" w:eastAsia="en-US"/>
        </w:rPr>
      </w:pPr>
      <w:r w:rsidRPr="00DC71CA">
        <w:rPr>
          <w:rFonts w:eastAsia="Calibri"/>
          <w:b/>
          <w:bCs/>
          <w:lang w:val="es-PA" w:eastAsia="en-US"/>
        </w:rPr>
        <w:t>REFERENCIAS:</w:t>
      </w:r>
    </w:p>
    <w:p w14:paraId="5918804C" w14:textId="77777777" w:rsidR="002D4B0D" w:rsidRPr="002D4B0D" w:rsidRDefault="002D4B0D" w:rsidP="00C73669">
      <w:pPr>
        <w:ind w:left="706" w:hanging="706"/>
        <w:rPr>
          <w:lang w:val="es-US" w:eastAsia="es-US"/>
        </w:rPr>
      </w:pPr>
      <w:r w:rsidRPr="002D4B0D">
        <w:rPr>
          <w:lang w:val="es-US" w:eastAsia="es-US"/>
        </w:rPr>
        <w:t xml:space="preserve">ASIS Panamá. (2024). </w:t>
      </w:r>
      <w:r w:rsidRPr="00846449">
        <w:rPr>
          <w:i/>
          <w:iCs/>
          <w:lang w:val="es-US" w:eastAsia="es-US"/>
        </w:rPr>
        <w:t>Análisis de Situación de Salud (ASIS) Regional – 2024</w:t>
      </w:r>
      <w:r w:rsidRPr="002D4B0D">
        <w:rPr>
          <w:lang w:val="es-US" w:eastAsia="es-US"/>
        </w:rPr>
        <w:t xml:space="preserve">. </w:t>
      </w:r>
      <w:hyperlink r:id="rId10" w:tgtFrame="_blank" w:history="1">
        <w:r w:rsidRPr="002D4B0D">
          <w:rPr>
            <w:color w:val="0000FF"/>
            <w:u w:val="single"/>
            <w:lang w:val="es-US" w:eastAsia="es-US"/>
          </w:rPr>
          <w:t>https://www.minsa.gob.pa/informacion-salud/analisis-de-situacion-de-salud-asis-regional-2024</w:t>
        </w:r>
      </w:hyperlink>
    </w:p>
    <w:p w14:paraId="1BFEC5C5" w14:textId="77777777" w:rsidR="002D4B0D" w:rsidRPr="002D4B0D" w:rsidRDefault="002D4B0D" w:rsidP="00C73669">
      <w:pPr>
        <w:ind w:left="706" w:hanging="706"/>
        <w:rPr>
          <w:lang w:val="es-US" w:eastAsia="es-US"/>
        </w:rPr>
      </w:pPr>
      <w:r w:rsidRPr="002D4B0D">
        <w:rPr>
          <w:lang w:val="en-US" w:eastAsia="es-US"/>
        </w:rPr>
        <w:t xml:space="preserve">Bassetti, M., Eckmann, C., Giacobbe, DR et al. </w:t>
      </w:r>
      <w:r w:rsidRPr="002D4B0D">
        <w:rPr>
          <w:lang w:val="es-US" w:eastAsia="es-US"/>
        </w:rPr>
        <w:t xml:space="preserve">(2020). Infecciones abdominales postoperatorias: epidemiología, definiciones operativas y resultados. </w:t>
      </w:r>
      <w:r w:rsidRPr="002D4B0D">
        <w:rPr>
          <w:i/>
          <w:iCs/>
          <w:lang w:val="es-US" w:eastAsia="es-US"/>
        </w:rPr>
        <w:t>Intensive Care Medical</w:t>
      </w:r>
      <w:r w:rsidRPr="002D4B0D">
        <w:rPr>
          <w:lang w:val="es-US" w:eastAsia="es-US"/>
        </w:rPr>
        <w:t xml:space="preserve">. 46, 163–172 (2020). </w:t>
      </w:r>
      <w:hyperlink r:id="rId11" w:tgtFrame="_blank" w:history="1">
        <w:r w:rsidRPr="002D4B0D">
          <w:rPr>
            <w:color w:val="0000FF"/>
            <w:u w:val="single"/>
            <w:lang w:val="es-US" w:eastAsia="es-US"/>
          </w:rPr>
          <w:t>https://doi.org/10.1007/s00134-019-05841-5</w:t>
        </w:r>
      </w:hyperlink>
    </w:p>
    <w:p w14:paraId="17F5C819" w14:textId="61181159" w:rsidR="002D4B0D" w:rsidRPr="002D4B0D" w:rsidRDefault="002D4B0D" w:rsidP="00C73669">
      <w:pPr>
        <w:ind w:left="706" w:hanging="706"/>
        <w:rPr>
          <w:lang w:val="es-US" w:eastAsia="es-US"/>
        </w:rPr>
      </w:pPr>
      <w:r w:rsidRPr="00846449">
        <w:rPr>
          <w:lang w:val="pt-PT" w:eastAsia="es-US"/>
        </w:rPr>
        <w:t>Casas-Navarro, A</w:t>
      </w:r>
      <w:r w:rsidR="00846449" w:rsidRPr="00846449">
        <w:rPr>
          <w:lang w:val="pt-PT" w:eastAsia="es-US"/>
        </w:rPr>
        <w:t>.</w:t>
      </w:r>
      <w:r w:rsidRPr="00846449">
        <w:rPr>
          <w:lang w:val="pt-PT" w:eastAsia="es-US"/>
        </w:rPr>
        <w:t xml:space="preserve"> M</w:t>
      </w:r>
      <w:r w:rsidR="00846449" w:rsidRPr="00846449">
        <w:rPr>
          <w:lang w:val="pt-PT" w:eastAsia="es-US"/>
        </w:rPr>
        <w:t>.</w:t>
      </w:r>
      <w:r w:rsidRPr="00846449">
        <w:rPr>
          <w:lang w:val="pt-PT" w:eastAsia="es-US"/>
        </w:rPr>
        <w:t>, Morales-Rojas, M</w:t>
      </w:r>
      <w:r w:rsidR="00846449" w:rsidRPr="00846449">
        <w:rPr>
          <w:lang w:val="pt-PT" w:eastAsia="es-US"/>
        </w:rPr>
        <w:t>.</w:t>
      </w:r>
      <w:r w:rsidRPr="00846449">
        <w:rPr>
          <w:lang w:val="pt-PT" w:eastAsia="es-US"/>
        </w:rPr>
        <w:t xml:space="preserve"> E</w:t>
      </w:r>
      <w:r w:rsidR="00846449" w:rsidRPr="00846449">
        <w:rPr>
          <w:lang w:val="pt-PT" w:eastAsia="es-US"/>
        </w:rPr>
        <w:t>.</w:t>
      </w:r>
      <w:r w:rsidRPr="00846449">
        <w:rPr>
          <w:lang w:val="pt-PT" w:eastAsia="es-US"/>
        </w:rPr>
        <w:t>, Cohuo-Cob, S</w:t>
      </w:r>
      <w:r w:rsidR="00846449" w:rsidRPr="00846449">
        <w:rPr>
          <w:lang w:val="pt-PT" w:eastAsia="es-US"/>
        </w:rPr>
        <w:t>.</w:t>
      </w:r>
      <w:r w:rsidRPr="00846449">
        <w:rPr>
          <w:lang w:val="pt-PT" w:eastAsia="es-US"/>
        </w:rPr>
        <w:t xml:space="preserve"> M</w:t>
      </w:r>
      <w:r w:rsidR="00846449">
        <w:rPr>
          <w:lang w:val="pt-PT" w:eastAsia="es-US"/>
        </w:rPr>
        <w:t>.</w:t>
      </w:r>
      <w:r w:rsidRPr="00846449">
        <w:rPr>
          <w:lang w:val="pt-PT" w:eastAsia="es-US"/>
        </w:rPr>
        <w:t>, Aké-Canul, D</w:t>
      </w:r>
      <w:r w:rsidR="00846449">
        <w:rPr>
          <w:lang w:val="pt-PT" w:eastAsia="es-US"/>
        </w:rPr>
        <w:t>. F.</w:t>
      </w:r>
      <w:r w:rsidRPr="00846449">
        <w:rPr>
          <w:lang w:val="pt-PT" w:eastAsia="es-US"/>
        </w:rPr>
        <w:t>, Balam-Ek, M</w:t>
      </w:r>
      <w:r w:rsidR="00846449">
        <w:rPr>
          <w:lang w:val="pt-PT" w:eastAsia="es-US"/>
        </w:rPr>
        <w:t>.</w:t>
      </w:r>
      <w:r w:rsidRPr="00846449">
        <w:rPr>
          <w:lang w:val="pt-PT" w:eastAsia="es-US"/>
        </w:rPr>
        <w:t>, &amp; Valle-Solís, M</w:t>
      </w:r>
      <w:r w:rsidR="00846449">
        <w:rPr>
          <w:lang w:val="pt-PT" w:eastAsia="es-US"/>
        </w:rPr>
        <w:t>.</w:t>
      </w:r>
      <w:r w:rsidRPr="00846449">
        <w:rPr>
          <w:lang w:val="pt-PT" w:eastAsia="es-US"/>
        </w:rPr>
        <w:t xml:space="preserve"> O. (2024). </w:t>
      </w:r>
      <w:r w:rsidRPr="002D4B0D">
        <w:rPr>
          <w:lang w:val="en-US" w:eastAsia="es-US"/>
        </w:rPr>
        <w:t xml:space="preserve">Self-medication with antibiotics and beliefs about antimicrobial resistance in a suburban community in Mexico. </w:t>
      </w:r>
      <w:proofErr w:type="spellStart"/>
      <w:r w:rsidRPr="002D4B0D">
        <w:rPr>
          <w:i/>
          <w:iCs/>
          <w:lang w:val="es-US" w:eastAsia="es-US"/>
        </w:rPr>
        <w:t>Index</w:t>
      </w:r>
      <w:proofErr w:type="spellEnd"/>
      <w:r w:rsidRPr="002D4B0D">
        <w:rPr>
          <w:i/>
          <w:iCs/>
          <w:lang w:val="es-US" w:eastAsia="es-US"/>
        </w:rPr>
        <w:t xml:space="preserve"> de Enfermería</w:t>
      </w:r>
      <w:r w:rsidRPr="002D4B0D">
        <w:rPr>
          <w:lang w:val="es-US" w:eastAsia="es-US"/>
        </w:rPr>
        <w:t xml:space="preserve">, 33(3), e14817. </w:t>
      </w:r>
      <w:proofErr w:type="spellStart"/>
      <w:r w:rsidRPr="002D4B0D">
        <w:rPr>
          <w:lang w:val="es-US" w:eastAsia="es-US"/>
        </w:rPr>
        <w:t>Epub</w:t>
      </w:r>
      <w:proofErr w:type="spellEnd"/>
      <w:r w:rsidRPr="002D4B0D">
        <w:rPr>
          <w:lang w:val="es-US" w:eastAsia="es-US"/>
        </w:rPr>
        <w:t xml:space="preserve"> 13 de diciembre de 2024.</w:t>
      </w:r>
      <w:hyperlink r:id="rId12" w:tgtFrame="_blank" w:history="1">
        <w:r w:rsidRPr="002D4B0D">
          <w:rPr>
            <w:color w:val="0000FF"/>
            <w:u w:val="single"/>
            <w:lang w:val="es-US" w:eastAsia="es-US"/>
          </w:rPr>
          <w:t>https://dx.doi.org/10.58807/indexenferm20246922</w:t>
        </w:r>
      </w:hyperlink>
    </w:p>
    <w:p w14:paraId="0C55C622" w14:textId="77777777" w:rsidR="00846449" w:rsidRPr="00846449" w:rsidRDefault="002D4B0D" w:rsidP="00C73669">
      <w:pPr>
        <w:ind w:left="706" w:hanging="706"/>
        <w:rPr>
          <w:lang w:val="pt-PT" w:eastAsia="es-US"/>
        </w:rPr>
      </w:pPr>
      <w:r w:rsidRPr="002D4B0D">
        <w:rPr>
          <w:lang w:val="pt-PT" w:eastAsia="es-US"/>
        </w:rPr>
        <w:t xml:space="preserve">Cassini, A., Högberg, L. D., Plachouras, D., Quattrocchi, A., Hoxha, A., Simonsen, G. S. </w:t>
      </w:r>
      <w:r w:rsidRPr="00846449">
        <w:rPr>
          <w:lang w:val="pt-PT" w:eastAsia="es-US"/>
        </w:rPr>
        <w:t xml:space="preserve">&amp; Hopkins, S. (2019). </w:t>
      </w:r>
      <w:r w:rsidRPr="002D4B0D">
        <w:rPr>
          <w:lang w:val="en-US" w:eastAsia="es-US"/>
        </w:rPr>
        <w:t xml:space="preserve">Attributable deaths and disability-adjusted life-years caused by infections with antibiotic-resistant bacteria in the EU and the European Economic Area in 2015: a population-level modelling analysis. </w:t>
      </w:r>
      <w:r w:rsidRPr="002D4B0D">
        <w:rPr>
          <w:i/>
          <w:iCs/>
          <w:lang w:val="en-US" w:eastAsia="es-US"/>
        </w:rPr>
        <w:t>The Lancet infectious diseases</w:t>
      </w:r>
      <w:r w:rsidRPr="002D4B0D">
        <w:rPr>
          <w:lang w:val="en-US" w:eastAsia="es-US"/>
        </w:rPr>
        <w:t>, 19(1), 56-66.</w:t>
      </w:r>
      <w:r w:rsidRPr="002D4B0D">
        <w:rPr>
          <w:lang w:val="en-US"/>
        </w:rPr>
        <w:t xml:space="preserve"> </w:t>
      </w:r>
      <w:hyperlink r:id="rId13" w:history="1">
        <w:r w:rsidR="00846449" w:rsidRPr="00846449">
          <w:rPr>
            <w:rStyle w:val="Hipervnculo"/>
            <w:lang w:val="pt-PT" w:eastAsia="es-US"/>
          </w:rPr>
          <w:t>https://www.thelancet.com/journals/laninf/article/PIIS14733099(18)306054/fulltext</w:t>
        </w:r>
      </w:hyperlink>
    </w:p>
    <w:p w14:paraId="5E088D5A" w14:textId="3294AA4B" w:rsidR="002D4B0D" w:rsidRPr="002D4B0D" w:rsidRDefault="002D4B0D" w:rsidP="00C73669">
      <w:pPr>
        <w:ind w:left="706" w:hanging="706"/>
        <w:rPr>
          <w:lang w:val="en-US" w:eastAsia="es-US"/>
        </w:rPr>
      </w:pPr>
      <w:r w:rsidRPr="00846449">
        <w:rPr>
          <w:lang w:val="pt-PT" w:eastAsia="es-US"/>
        </w:rPr>
        <w:t xml:space="preserve">Comité Editorial Ocronos. </w:t>
      </w:r>
      <w:r w:rsidRPr="002D4B0D">
        <w:rPr>
          <w:lang w:val="en-US" w:eastAsia="es-US"/>
        </w:rPr>
        <w:t xml:space="preserve">RAM </w:t>
      </w:r>
      <w:proofErr w:type="spellStart"/>
      <w:r w:rsidRPr="002D4B0D">
        <w:rPr>
          <w:lang w:val="en-US" w:eastAsia="es-US"/>
        </w:rPr>
        <w:t>desde</w:t>
      </w:r>
      <w:proofErr w:type="spellEnd"/>
      <w:r w:rsidRPr="002D4B0D">
        <w:rPr>
          <w:lang w:val="en-US" w:eastAsia="es-US"/>
        </w:rPr>
        <w:t xml:space="preserve"> la </w:t>
      </w:r>
      <w:proofErr w:type="spellStart"/>
      <w:r w:rsidRPr="002D4B0D">
        <w:rPr>
          <w:lang w:val="en-US" w:eastAsia="es-US"/>
        </w:rPr>
        <w:t>Atención</w:t>
      </w:r>
      <w:proofErr w:type="spellEnd"/>
      <w:r w:rsidRPr="002D4B0D">
        <w:rPr>
          <w:lang w:val="en-US" w:eastAsia="es-US"/>
        </w:rPr>
        <w:t xml:space="preserve"> Primaria. </w:t>
      </w:r>
      <w:r w:rsidRPr="002D4B0D">
        <w:rPr>
          <w:i/>
          <w:iCs/>
          <w:lang w:val="en-US" w:eastAsia="es-US"/>
        </w:rPr>
        <w:t xml:space="preserve">Revista </w:t>
      </w:r>
      <w:proofErr w:type="spellStart"/>
      <w:r w:rsidRPr="002D4B0D">
        <w:rPr>
          <w:i/>
          <w:iCs/>
          <w:lang w:val="en-US" w:eastAsia="es-US"/>
        </w:rPr>
        <w:t>Ocronos</w:t>
      </w:r>
      <w:proofErr w:type="spellEnd"/>
      <w:r w:rsidRPr="002D4B0D">
        <w:rPr>
          <w:lang w:val="en-US" w:eastAsia="es-US"/>
        </w:rPr>
        <w:t xml:space="preserve">. 2025;8(6):1–10. </w:t>
      </w:r>
      <w:hyperlink r:id="rId14" w:tgtFrame="_blank" w:history="1">
        <w:r w:rsidRPr="002D4B0D">
          <w:rPr>
            <w:color w:val="0000FF"/>
            <w:u w:val="single"/>
            <w:lang w:val="en-US" w:eastAsia="es-US"/>
          </w:rPr>
          <w:t>https://revistamedica.com/resistencia-antimicrobiana-desafio-atencion-primaria/</w:t>
        </w:r>
      </w:hyperlink>
    </w:p>
    <w:p w14:paraId="0923A08C" w14:textId="77777777" w:rsidR="002D4B0D" w:rsidRPr="002D4B0D" w:rsidRDefault="002D4B0D" w:rsidP="00C73669">
      <w:pPr>
        <w:ind w:left="706" w:hanging="706"/>
        <w:rPr>
          <w:lang w:val="es-US" w:eastAsia="es-US"/>
        </w:rPr>
      </w:pPr>
      <w:r w:rsidRPr="00D77318">
        <w:rPr>
          <w:lang w:val="en-US" w:eastAsia="es-US"/>
        </w:rPr>
        <w:t xml:space="preserve">Córdoba, G. (2022). </w:t>
      </w:r>
      <w:r w:rsidRPr="002D4B0D">
        <w:rPr>
          <w:lang w:val="es-US" w:eastAsia="es-US"/>
        </w:rPr>
        <w:t xml:space="preserve">Resistencia antimicrobiana y el rol de atención primaria. </w:t>
      </w:r>
      <w:r w:rsidRPr="002D4B0D">
        <w:rPr>
          <w:i/>
          <w:iCs/>
          <w:lang w:val="es-US" w:eastAsia="es-US"/>
        </w:rPr>
        <w:t>Revista mexicana de medicina familiar</w:t>
      </w:r>
      <w:r w:rsidRPr="002D4B0D">
        <w:rPr>
          <w:lang w:val="es-US" w:eastAsia="es-US"/>
        </w:rPr>
        <w:t xml:space="preserve">, 9(2), 38-40. </w:t>
      </w:r>
      <w:hyperlink r:id="rId15" w:tgtFrame="_blank" w:history="1">
        <w:r w:rsidRPr="002D4B0D">
          <w:rPr>
            <w:color w:val="0000FF"/>
            <w:u w:val="single"/>
            <w:lang w:val="es-US" w:eastAsia="es-US"/>
          </w:rPr>
          <w:t>https://www.scielo.org.mx/scielo.php?pid=S2696-12962022000200038&amp;script=sci_arttext</w:t>
        </w:r>
      </w:hyperlink>
    </w:p>
    <w:p w14:paraId="36D2CF16" w14:textId="50DB17AD" w:rsidR="002D4B0D" w:rsidRPr="002D4B0D" w:rsidRDefault="002D4B0D" w:rsidP="00C73669">
      <w:pPr>
        <w:ind w:left="706" w:hanging="706"/>
        <w:rPr>
          <w:lang w:val="es-US" w:eastAsia="es-US"/>
        </w:rPr>
      </w:pPr>
      <w:r w:rsidRPr="002D4B0D">
        <w:rPr>
          <w:lang w:val="es-US" w:eastAsia="es-US"/>
        </w:rPr>
        <w:t xml:space="preserve">De la Torre-Fiallos, A. V., Pacha-Jara, A. G., &amp; Caiza-Vega, M. (2023). Parasitosis intestinales en niños del cantón Ambato, Ecuador. </w:t>
      </w:r>
      <w:r w:rsidRPr="002D4B0D">
        <w:rPr>
          <w:i/>
          <w:iCs/>
          <w:lang w:val="es-US" w:eastAsia="es-US"/>
        </w:rPr>
        <w:t>Medicina &amp; Laboratorio</w:t>
      </w:r>
      <w:r w:rsidRPr="002D4B0D">
        <w:rPr>
          <w:lang w:val="es-US" w:eastAsia="es-US"/>
        </w:rPr>
        <w:t xml:space="preserve">, 27(4), 345-356. </w:t>
      </w:r>
      <w:hyperlink r:id="rId16" w:tgtFrame="_blank" w:history="1">
        <w:r w:rsidRPr="002D4B0D">
          <w:rPr>
            <w:color w:val="0000FF"/>
            <w:u w:val="single"/>
            <w:lang w:val="es-US" w:eastAsia="es-US"/>
          </w:rPr>
          <w:t>https://www.redalyc.org/pdf/7164/716479678005.pdf</w:t>
        </w:r>
      </w:hyperlink>
    </w:p>
    <w:p w14:paraId="505F499F" w14:textId="77777777" w:rsidR="002D4B0D" w:rsidRPr="002D4B0D" w:rsidRDefault="002D4B0D" w:rsidP="00C73669">
      <w:pPr>
        <w:ind w:left="706" w:hanging="706"/>
        <w:rPr>
          <w:lang w:val="es-US" w:eastAsia="es-US"/>
        </w:rPr>
      </w:pPr>
      <w:r w:rsidRPr="002D4B0D">
        <w:rPr>
          <w:lang w:val="es-US" w:eastAsia="es-US"/>
        </w:rPr>
        <w:t xml:space="preserve">Echeverry-Guerrero, S., González-Vélez, S., Arévalo-Lara, A.-S., Calvache-Orozco, J.-C., Villarroel-Hagemann, S. K., Rojas-Rodríguez, L. C., Pérez-Acosta, A. M., &amp; Calderon-Ospina, </w:t>
      </w:r>
      <w:r w:rsidRPr="002D4B0D">
        <w:rPr>
          <w:lang w:val="es-US" w:eastAsia="es-US"/>
        </w:rPr>
        <w:lastRenderedPageBreak/>
        <w:t xml:space="preserve">C.-A. (2024). </w:t>
      </w:r>
      <w:r w:rsidRPr="002D4B0D">
        <w:rPr>
          <w:lang w:val="en-US" w:eastAsia="es-US"/>
        </w:rPr>
        <w:t xml:space="preserve">The Inappropriate Use of GLP-1 Analogs: Reflections from Pharmacoepidemiology. </w:t>
      </w:r>
      <w:r w:rsidRPr="00BD1F74">
        <w:rPr>
          <w:i/>
          <w:iCs/>
          <w:lang w:val="en-US" w:eastAsia="es-US"/>
        </w:rPr>
        <w:t>Pharmacoepidemiology</w:t>
      </w:r>
      <w:r w:rsidRPr="002D4B0D">
        <w:rPr>
          <w:lang w:val="en-US" w:eastAsia="es-US"/>
        </w:rPr>
        <w:t xml:space="preserve">, 3(4), 365-372. </w:t>
      </w:r>
      <w:hyperlink r:id="rId17" w:tgtFrame="_blank" w:history="1">
        <w:r w:rsidRPr="002D4B0D">
          <w:rPr>
            <w:color w:val="0000FF"/>
            <w:u w:val="single"/>
            <w:lang w:val="es-US" w:eastAsia="es-US"/>
          </w:rPr>
          <w:t>https://doi.org/10.3390/pharma3040025</w:t>
        </w:r>
      </w:hyperlink>
    </w:p>
    <w:p w14:paraId="72982F4D" w14:textId="166830C9" w:rsidR="002D4B0D" w:rsidRPr="002D4B0D" w:rsidRDefault="002D4B0D" w:rsidP="00C73669">
      <w:pPr>
        <w:ind w:left="706" w:hanging="706"/>
        <w:rPr>
          <w:lang w:val="es-US" w:eastAsia="es-US"/>
        </w:rPr>
      </w:pPr>
      <w:r w:rsidRPr="002D4B0D">
        <w:rPr>
          <w:lang w:val="es-US" w:eastAsia="es-US"/>
        </w:rPr>
        <w:t xml:space="preserve">García-Rodríguez, J. A., Delgado, A., Gomis, M., González, J., Mensa, J., Orero, A., &amp; Ripoll, M. A. (2002). Prescripción de antibióticos en Atención Primaria en España. Motivos y características. </w:t>
      </w:r>
      <w:r w:rsidRPr="00BD1F74">
        <w:rPr>
          <w:i/>
          <w:iCs/>
          <w:lang w:val="es-US" w:eastAsia="es-US"/>
        </w:rPr>
        <w:t>Medicina General</w:t>
      </w:r>
      <w:r w:rsidRPr="002D4B0D">
        <w:rPr>
          <w:lang w:val="es-US" w:eastAsia="es-US"/>
        </w:rPr>
        <w:t xml:space="preserve">, 48, 785-790. </w:t>
      </w:r>
      <w:hyperlink r:id="rId18" w:tgtFrame="_blank" w:history="1">
        <w:r w:rsidRPr="002D4B0D">
          <w:rPr>
            <w:color w:val="0000FF"/>
            <w:u w:val="single"/>
            <w:lang w:val="es-US" w:eastAsia="es-US"/>
          </w:rPr>
          <w:t>https://semg.info/mgyf/medicinageneral/revista_48/pdf/785-790.pdf</w:t>
        </w:r>
      </w:hyperlink>
    </w:p>
    <w:p w14:paraId="535B954F" w14:textId="1C91EFE8" w:rsidR="002D4B0D" w:rsidRPr="00846449" w:rsidRDefault="002D4B0D" w:rsidP="00C73669">
      <w:pPr>
        <w:ind w:left="706" w:hanging="706"/>
        <w:rPr>
          <w:lang w:val="pt-PT" w:eastAsia="es-US"/>
        </w:rPr>
      </w:pPr>
      <w:r w:rsidRPr="002D4B0D">
        <w:rPr>
          <w:lang w:val="es-US" w:eastAsia="es-US"/>
        </w:rPr>
        <w:t>Hernández-Díaz</w:t>
      </w:r>
      <w:r w:rsidR="00846449">
        <w:rPr>
          <w:lang w:val="es-US" w:eastAsia="es-US"/>
        </w:rPr>
        <w:t>,</w:t>
      </w:r>
      <w:r w:rsidRPr="002D4B0D">
        <w:rPr>
          <w:lang w:val="es-US" w:eastAsia="es-US"/>
        </w:rPr>
        <w:t xml:space="preserve"> A</w:t>
      </w:r>
      <w:r w:rsidR="00846449">
        <w:rPr>
          <w:lang w:val="es-US" w:eastAsia="es-US"/>
        </w:rPr>
        <w:t xml:space="preserve">. </w:t>
      </w:r>
      <w:r w:rsidRPr="002D4B0D">
        <w:rPr>
          <w:lang w:val="es-US" w:eastAsia="es-US"/>
        </w:rPr>
        <w:t>A</w:t>
      </w:r>
      <w:r w:rsidR="00846449">
        <w:rPr>
          <w:lang w:val="es-US" w:eastAsia="es-US"/>
        </w:rPr>
        <w:t>.</w:t>
      </w:r>
      <w:r w:rsidRPr="002D4B0D">
        <w:rPr>
          <w:lang w:val="es-US" w:eastAsia="es-US"/>
        </w:rPr>
        <w:t>, Villagra-Savaria J</w:t>
      </w:r>
      <w:r w:rsidR="00846449">
        <w:rPr>
          <w:lang w:val="es-US" w:eastAsia="es-US"/>
        </w:rPr>
        <w:t>.</w:t>
      </w:r>
      <w:r w:rsidRPr="002D4B0D">
        <w:rPr>
          <w:lang w:val="es-US" w:eastAsia="es-US"/>
        </w:rPr>
        <w:t>I</w:t>
      </w:r>
      <w:r w:rsidR="00846449">
        <w:rPr>
          <w:lang w:val="es-US" w:eastAsia="es-US"/>
        </w:rPr>
        <w:t>.</w:t>
      </w:r>
      <w:r w:rsidRPr="002D4B0D">
        <w:rPr>
          <w:lang w:val="es-US" w:eastAsia="es-US"/>
        </w:rPr>
        <w:t>, Hernández-Hernández M</w:t>
      </w:r>
      <w:r w:rsidR="00846449">
        <w:rPr>
          <w:lang w:val="es-US" w:eastAsia="es-US"/>
        </w:rPr>
        <w:t>.</w:t>
      </w:r>
      <w:r w:rsidRPr="002D4B0D">
        <w:rPr>
          <w:lang w:val="es-US" w:eastAsia="es-US"/>
        </w:rPr>
        <w:t>A</w:t>
      </w:r>
      <w:r w:rsidR="00846449">
        <w:rPr>
          <w:lang w:val="es-US" w:eastAsia="es-US"/>
        </w:rPr>
        <w:t>.</w:t>
      </w:r>
      <w:r w:rsidRPr="002D4B0D">
        <w:rPr>
          <w:lang w:val="es-US" w:eastAsia="es-US"/>
        </w:rPr>
        <w:t xml:space="preserve">, Placencia-Acuña </w:t>
      </w:r>
      <w:proofErr w:type="gramStart"/>
      <w:r w:rsidRPr="002D4B0D">
        <w:rPr>
          <w:lang w:val="es-US" w:eastAsia="es-US"/>
        </w:rPr>
        <w:t>C</w:t>
      </w:r>
      <w:r w:rsidR="00846449">
        <w:rPr>
          <w:lang w:val="es-US" w:eastAsia="es-US"/>
        </w:rPr>
        <w:t>.</w:t>
      </w:r>
      <w:r w:rsidRPr="002D4B0D">
        <w:rPr>
          <w:lang w:val="es-US" w:eastAsia="es-US"/>
        </w:rPr>
        <w:t>A</w:t>
      </w:r>
      <w:r w:rsidR="00846449">
        <w:rPr>
          <w:lang w:val="es-US" w:eastAsia="es-US"/>
        </w:rPr>
        <w:t>.</w:t>
      </w:r>
      <w:r w:rsidRPr="002D4B0D">
        <w:rPr>
          <w:lang w:val="es-US" w:eastAsia="es-US"/>
        </w:rPr>
        <w:t>.</w:t>
      </w:r>
      <w:proofErr w:type="gramEnd"/>
      <w:r w:rsidRPr="002D4B0D">
        <w:rPr>
          <w:lang w:val="es-US" w:eastAsia="es-US"/>
        </w:rPr>
        <w:t xml:space="preserve"> (2025). Resistencia antimicrobiana en América Latina últimos 5 años, revisión narrativa. </w:t>
      </w:r>
      <w:r w:rsidRPr="00846449">
        <w:rPr>
          <w:i/>
          <w:iCs/>
          <w:lang w:val="pt-PT" w:eastAsia="es-US"/>
        </w:rPr>
        <w:t>Archivo médico Camagüey</w:t>
      </w:r>
      <w:r w:rsidR="00846449">
        <w:rPr>
          <w:lang w:val="pt-PT" w:eastAsia="es-US"/>
        </w:rPr>
        <w:t>,</w:t>
      </w:r>
      <w:r w:rsidRPr="00846449">
        <w:rPr>
          <w:lang w:val="pt-PT" w:eastAsia="es-US"/>
        </w:rPr>
        <w:t xml:space="preserve"> </w:t>
      </w:r>
      <w:r w:rsidR="00846449">
        <w:rPr>
          <w:lang w:val="pt-PT" w:eastAsia="es-US"/>
        </w:rPr>
        <w:t>(</w:t>
      </w:r>
      <w:r w:rsidRPr="00846449">
        <w:rPr>
          <w:lang w:val="pt-PT" w:eastAsia="es-US"/>
        </w:rPr>
        <w:t>29</w:t>
      </w:r>
      <w:r w:rsidR="00846449">
        <w:rPr>
          <w:lang w:val="pt-PT" w:eastAsia="es-US"/>
        </w:rPr>
        <w:t>)</w:t>
      </w:r>
      <w:r w:rsidRPr="00846449">
        <w:rPr>
          <w:lang w:val="pt-PT" w:eastAsia="es-US"/>
        </w:rPr>
        <w:t xml:space="preserve">. </w:t>
      </w:r>
      <w:hyperlink r:id="rId19" w:tgtFrame="_blank" w:history="1">
        <w:r w:rsidRPr="00846449">
          <w:rPr>
            <w:color w:val="0000FF"/>
            <w:u w:val="single"/>
            <w:lang w:val="pt-PT" w:eastAsia="es-US"/>
          </w:rPr>
          <w:t>https://revistaamc.sld.cu/index.php/amc/article/view/10349</w:t>
        </w:r>
      </w:hyperlink>
    </w:p>
    <w:p w14:paraId="56847F6D" w14:textId="77777777" w:rsidR="002D4B0D" w:rsidRPr="002D4B0D" w:rsidRDefault="002D4B0D" w:rsidP="00C73669">
      <w:pPr>
        <w:ind w:left="706" w:hanging="706"/>
        <w:rPr>
          <w:lang w:val="es-US" w:eastAsia="es-US"/>
        </w:rPr>
      </w:pPr>
      <w:r w:rsidRPr="002D4B0D">
        <w:rPr>
          <w:lang w:val="en-US" w:eastAsia="es-US"/>
        </w:rPr>
        <w:t xml:space="preserve">Holmes AH, Moore LS, </w:t>
      </w:r>
      <w:proofErr w:type="spellStart"/>
      <w:r w:rsidRPr="002D4B0D">
        <w:rPr>
          <w:lang w:val="en-US" w:eastAsia="es-US"/>
        </w:rPr>
        <w:t>Sundsfjord</w:t>
      </w:r>
      <w:proofErr w:type="spellEnd"/>
      <w:r w:rsidRPr="002D4B0D">
        <w:rPr>
          <w:lang w:val="en-US" w:eastAsia="es-US"/>
        </w:rPr>
        <w:t xml:space="preserve"> A, Steinbakk M, Regmi S, </w:t>
      </w:r>
      <w:proofErr w:type="spellStart"/>
      <w:r w:rsidRPr="002D4B0D">
        <w:rPr>
          <w:lang w:val="en-US" w:eastAsia="es-US"/>
        </w:rPr>
        <w:t>Karkey</w:t>
      </w:r>
      <w:proofErr w:type="spellEnd"/>
      <w:r w:rsidRPr="002D4B0D">
        <w:rPr>
          <w:lang w:val="en-US" w:eastAsia="es-US"/>
        </w:rPr>
        <w:t xml:space="preserve"> A. (2016). Understanding the mechanisms and drivers of antimicrobial resistance. </w:t>
      </w:r>
      <w:r w:rsidRPr="00BD1F74">
        <w:rPr>
          <w:i/>
          <w:iCs/>
          <w:lang w:val="en-US" w:eastAsia="es-US"/>
        </w:rPr>
        <w:t>The Lancet</w:t>
      </w:r>
      <w:r w:rsidRPr="002D4B0D">
        <w:rPr>
          <w:lang w:val="en-US" w:eastAsia="es-US"/>
        </w:rPr>
        <w:t xml:space="preserve">;387(10014):176-87. </w:t>
      </w:r>
      <w:hyperlink r:id="rId20" w:tgtFrame="_blank" w:history="1">
        <w:r w:rsidRPr="002D4B0D">
          <w:rPr>
            <w:color w:val="0000FF"/>
            <w:u w:val="single"/>
            <w:lang w:val="es-US" w:eastAsia="es-US"/>
          </w:rPr>
          <w:t>https://pubmed.ncbi.nlm.nih.gov/26603922/</w:t>
        </w:r>
      </w:hyperlink>
    </w:p>
    <w:p w14:paraId="3419641F" w14:textId="77777777" w:rsidR="002D4B0D" w:rsidRPr="002D4B0D" w:rsidRDefault="002D4B0D" w:rsidP="00C73669">
      <w:pPr>
        <w:ind w:left="706" w:hanging="706"/>
        <w:rPr>
          <w:lang w:val="es-US" w:eastAsia="es-US"/>
        </w:rPr>
      </w:pPr>
      <w:r w:rsidRPr="002D4B0D">
        <w:rPr>
          <w:lang w:val="es-US" w:eastAsia="es-US"/>
        </w:rPr>
        <w:t>Ministerio de Salud de Chile. (2023</w:t>
      </w:r>
      <w:r w:rsidRPr="00846449">
        <w:rPr>
          <w:lang w:val="es-US" w:eastAsia="es-US"/>
        </w:rPr>
        <w:t>).</w:t>
      </w:r>
      <w:r w:rsidRPr="00846449">
        <w:rPr>
          <w:i/>
          <w:iCs/>
          <w:lang w:val="es-US" w:eastAsia="es-US"/>
        </w:rPr>
        <w:t xml:space="preserve"> Plan nacional contra la resistencia a los antimicrobianos</w:t>
      </w:r>
      <w:r w:rsidRPr="002D4B0D">
        <w:rPr>
          <w:lang w:val="es-US" w:eastAsia="es-US"/>
        </w:rPr>
        <w:t xml:space="preserve"> </w:t>
      </w:r>
      <w:hyperlink r:id="rId21" w:tgtFrame="_blank" w:history="1">
        <w:r w:rsidRPr="002D4B0D">
          <w:rPr>
            <w:color w:val="0000FF"/>
            <w:u w:val="single"/>
            <w:lang w:val="es-US" w:eastAsia="es-US"/>
          </w:rPr>
          <w:t>https://diprece.minsal.cl/wp-content/uploads/2024/04/2024.04.23_PLAN-NACIONAL-CONTRA-LA-RESISTENCIA-A-LOS-ANTIMICROBIANOS.pdf</w:t>
        </w:r>
      </w:hyperlink>
    </w:p>
    <w:p w14:paraId="4D22C5D7" w14:textId="77777777" w:rsidR="002D4B0D" w:rsidRPr="002D4B0D" w:rsidRDefault="002D4B0D" w:rsidP="00C73669">
      <w:pPr>
        <w:ind w:left="706" w:hanging="706"/>
        <w:rPr>
          <w:lang w:val="es-US" w:eastAsia="es-US"/>
        </w:rPr>
      </w:pPr>
      <w:r w:rsidRPr="002D4B0D">
        <w:rPr>
          <w:lang w:val="es-US" w:eastAsia="es-US"/>
        </w:rPr>
        <w:t xml:space="preserve">Ministerio de Salud de Panamá. </w:t>
      </w:r>
      <w:r w:rsidRPr="002D4B0D">
        <w:rPr>
          <w:lang w:val="pt-PT" w:eastAsia="es-US"/>
        </w:rPr>
        <w:t xml:space="preserve">(2024). </w:t>
      </w:r>
      <w:r w:rsidRPr="00846449">
        <w:rPr>
          <w:i/>
          <w:iCs/>
          <w:lang w:val="pt-PT" w:eastAsia="es-US"/>
        </w:rPr>
        <w:t>Informe nacional de vigilancia de resistencia antimicrobiana</w:t>
      </w:r>
      <w:r w:rsidRPr="002D4B0D">
        <w:rPr>
          <w:lang w:val="pt-PT" w:eastAsia="es-US"/>
        </w:rPr>
        <w:t xml:space="preserve">. </w:t>
      </w:r>
      <w:r w:rsidRPr="002D4B0D">
        <w:rPr>
          <w:lang w:val="es-US" w:eastAsia="es-US"/>
        </w:rPr>
        <w:t xml:space="preserve">Panamá: </w:t>
      </w:r>
      <w:hyperlink r:id="rId22" w:tgtFrame="_blank" w:history="1">
        <w:r w:rsidRPr="002D4B0D">
          <w:rPr>
            <w:color w:val="0000FF"/>
            <w:u w:val="single"/>
            <w:lang w:val="es-US" w:eastAsia="es-US"/>
          </w:rPr>
          <w:t>https://resistenciaantibioticos.es/sites/default/files/2025-06/Informe%20anual%202024_0.pdf</w:t>
        </w:r>
      </w:hyperlink>
    </w:p>
    <w:p w14:paraId="4A0C9502" w14:textId="77777777" w:rsidR="002D4B0D" w:rsidRPr="002D4B0D" w:rsidRDefault="002D4B0D" w:rsidP="00C73669">
      <w:pPr>
        <w:ind w:left="706" w:hanging="706"/>
        <w:rPr>
          <w:lang w:val="es-US" w:eastAsia="es-US"/>
        </w:rPr>
      </w:pPr>
      <w:r w:rsidRPr="002D4B0D">
        <w:rPr>
          <w:lang w:val="es-US" w:eastAsia="es-US"/>
        </w:rPr>
        <w:t xml:space="preserve">OMS (2023). </w:t>
      </w:r>
      <w:r w:rsidRPr="00846449">
        <w:rPr>
          <w:i/>
          <w:iCs/>
          <w:lang w:val="es-US" w:eastAsia="es-US"/>
        </w:rPr>
        <w:t>Resistencia Antimicrobiana</w:t>
      </w:r>
      <w:r w:rsidRPr="002D4B0D">
        <w:rPr>
          <w:lang w:val="es-US" w:eastAsia="es-US"/>
        </w:rPr>
        <w:t xml:space="preserve">. </w:t>
      </w:r>
      <w:hyperlink r:id="rId23" w:tgtFrame="_blank" w:history="1">
        <w:r w:rsidRPr="002D4B0D">
          <w:rPr>
            <w:color w:val="0000FF"/>
            <w:u w:val="single"/>
            <w:lang w:val="es-US" w:eastAsia="es-US"/>
          </w:rPr>
          <w:t>https://www-who-int.translate.goog/news-room/fact-sheets/detail/antimicrobial-resistance?_x_tr_sl=en&amp;_x_tr_tl=es&amp;_x_tr_hl=es&amp;_x_tr_pto=tc</w:t>
        </w:r>
      </w:hyperlink>
    </w:p>
    <w:p w14:paraId="5FBD47A4" w14:textId="77777777" w:rsidR="002D4B0D" w:rsidRPr="002D4B0D" w:rsidRDefault="002D4B0D" w:rsidP="00C73669">
      <w:pPr>
        <w:ind w:left="706" w:hanging="706"/>
        <w:rPr>
          <w:lang w:val="es-US" w:eastAsia="es-US"/>
        </w:rPr>
      </w:pPr>
      <w:r w:rsidRPr="002D4B0D">
        <w:rPr>
          <w:lang w:val="en-US" w:eastAsia="es-US"/>
        </w:rPr>
        <w:t xml:space="preserve">O’Neill J. (2016). </w:t>
      </w:r>
      <w:r w:rsidRPr="00846449">
        <w:rPr>
          <w:i/>
          <w:iCs/>
          <w:lang w:val="en-US" w:eastAsia="es-US"/>
        </w:rPr>
        <w:t>Tackling drug-resistant infections globally. Review on Antimicrobial Resistance</w:t>
      </w:r>
      <w:r w:rsidRPr="002D4B0D">
        <w:rPr>
          <w:lang w:val="en-US" w:eastAsia="es-US"/>
        </w:rPr>
        <w:t xml:space="preserve">. London: HM Government. </w:t>
      </w:r>
      <w:hyperlink r:id="rId24" w:tgtFrame="_blank" w:history="1">
        <w:r w:rsidRPr="002D4B0D">
          <w:rPr>
            <w:color w:val="0000FF"/>
            <w:u w:val="single"/>
            <w:lang w:val="es-US" w:eastAsia="es-US"/>
          </w:rPr>
          <w:t>https://amr-review.org/sites/default/files/160518_Final%20paper_with%20cover.pdf</w:t>
        </w:r>
      </w:hyperlink>
    </w:p>
    <w:p w14:paraId="7B723737" w14:textId="0844362C" w:rsidR="002D4B0D" w:rsidRDefault="002D4B0D" w:rsidP="00C73669">
      <w:pPr>
        <w:ind w:left="706" w:hanging="706"/>
      </w:pPr>
      <w:r w:rsidRPr="002D4B0D">
        <w:rPr>
          <w:lang w:val="es-US" w:eastAsia="es-US"/>
        </w:rPr>
        <w:t xml:space="preserve">OPS (2024). </w:t>
      </w:r>
      <w:r w:rsidRPr="00846449">
        <w:rPr>
          <w:i/>
          <w:iCs/>
          <w:lang w:val="es-US" w:eastAsia="es-US"/>
        </w:rPr>
        <w:t>La OPS y GARDP colaborarán para hacer frente a la resistencia a los antibióticos en América Latina y el Caribe</w:t>
      </w:r>
      <w:r w:rsidR="00846449">
        <w:rPr>
          <w:lang w:val="es-US" w:eastAsia="es-US"/>
        </w:rPr>
        <w:t xml:space="preserve">. </w:t>
      </w:r>
      <w:r w:rsidRPr="002D4B0D">
        <w:rPr>
          <w:lang w:val="es-US" w:eastAsia="es-US"/>
        </w:rPr>
        <w:lastRenderedPageBreak/>
        <w:t>https://</w:t>
      </w:r>
      <w:hyperlink r:id="rId25" w:tgtFrame="_blank" w:history="1">
        <w:r w:rsidRPr="002D4B0D">
          <w:rPr>
            <w:color w:val="0000FF"/>
            <w:u w:val="single"/>
            <w:lang w:val="es-US" w:eastAsia="es-US"/>
          </w:rPr>
          <w:t>www.paho.org/es/noticias/26-9-2024-ops-gardp-colaboraran-para-hacer-frente-resistencia-antibioticos-america-latina</w:t>
        </w:r>
      </w:hyperlink>
    </w:p>
    <w:p w14:paraId="67BD349C" w14:textId="77777777" w:rsidR="002D4B0D" w:rsidRPr="002D4B0D" w:rsidRDefault="002D4B0D" w:rsidP="00C73669">
      <w:pPr>
        <w:ind w:left="706" w:hanging="706"/>
        <w:rPr>
          <w:lang w:val="es-US" w:eastAsia="es-US"/>
        </w:rPr>
      </w:pPr>
      <w:r w:rsidRPr="002D4B0D">
        <w:rPr>
          <w:lang w:val="es-US" w:eastAsia="es-US"/>
        </w:rPr>
        <w:t xml:space="preserve">OPS. (2024). </w:t>
      </w:r>
      <w:r w:rsidRPr="00846449">
        <w:rPr>
          <w:i/>
          <w:iCs/>
          <w:lang w:val="es-US" w:eastAsia="es-US"/>
        </w:rPr>
        <w:t>Panamá, informe anual de país 2024</w:t>
      </w:r>
      <w:r w:rsidRPr="002D4B0D">
        <w:rPr>
          <w:lang w:val="es-US" w:eastAsia="es-US"/>
        </w:rPr>
        <w:t xml:space="preserve">. </w:t>
      </w:r>
      <w:hyperlink r:id="rId26" w:tgtFrame="_blank" w:history="1">
        <w:r w:rsidRPr="002D4B0D">
          <w:rPr>
            <w:color w:val="0000FF"/>
            <w:u w:val="single"/>
            <w:lang w:val="es-US" w:eastAsia="es-US"/>
          </w:rPr>
          <w:t>https://www.paho.org/es/publicaciones/panama-informe-anual-pais-2024</w:t>
        </w:r>
      </w:hyperlink>
    </w:p>
    <w:p w14:paraId="609839C8" w14:textId="77777777" w:rsidR="002D4B0D" w:rsidRPr="002D4B0D" w:rsidRDefault="002D4B0D" w:rsidP="00C73669">
      <w:pPr>
        <w:ind w:left="706" w:hanging="706"/>
        <w:rPr>
          <w:lang w:val="es-US" w:eastAsia="es-US"/>
        </w:rPr>
      </w:pPr>
      <w:r w:rsidRPr="002D4B0D">
        <w:rPr>
          <w:lang w:val="es-US" w:eastAsia="es-US"/>
        </w:rPr>
        <w:t xml:space="preserve">PAHO. (2024). </w:t>
      </w:r>
      <w:r w:rsidRPr="00846449">
        <w:rPr>
          <w:i/>
          <w:iCs/>
          <w:lang w:val="es-US" w:eastAsia="es-US"/>
        </w:rPr>
        <w:t xml:space="preserve">World </w:t>
      </w:r>
      <w:proofErr w:type="spellStart"/>
      <w:r w:rsidRPr="00846449">
        <w:rPr>
          <w:i/>
          <w:iCs/>
          <w:lang w:val="es-US" w:eastAsia="es-US"/>
        </w:rPr>
        <w:t>Antimicrobial</w:t>
      </w:r>
      <w:proofErr w:type="spellEnd"/>
      <w:r w:rsidRPr="00846449">
        <w:rPr>
          <w:i/>
          <w:iCs/>
          <w:lang w:val="es-US" w:eastAsia="es-US"/>
        </w:rPr>
        <w:t xml:space="preserve"> </w:t>
      </w:r>
      <w:proofErr w:type="spellStart"/>
      <w:r w:rsidRPr="00846449">
        <w:rPr>
          <w:i/>
          <w:iCs/>
          <w:lang w:val="es-US" w:eastAsia="es-US"/>
        </w:rPr>
        <w:t>Resistance</w:t>
      </w:r>
      <w:proofErr w:type="spellEnd"/>
      <w:r w:rsidRPr="00846449">
        <w:rPr>
          <w:i/>
          <w:iCs/>
          <w:lang w:val="es-US" w:eastAsia="es-US"/>
        </w:rPr>
        <w:t xml:space="preserve"> </w:t>
      </w:r>
      <w:proofErr w:type="spellStart"/>
      <w:r w:rsidRPr="00846449">
        <w:rPr>
          <w:i/>
          <w:iCs/>
          <w:lang w:val="es-US" w:eastAsia="es-US"/>
        </w:rPr>
        <w:t>Awareness</w:t>
      </w:r>
      <w:proofErr w:type="spellEnd"/>
      <w:r w:rsidRPr="00846449">
        <w:rPr>
          <w:i/>
          <w:iCs/>
          <w:lang w:val="es-US" w:eastAsia="es-US"/>
        </w:rPr>
        <w:t xml:space="preserve"> Week 2024</w:t>
      </w:r>
      <w:r w:rsidRPr="002D4B0D">
        <w:rPr>
          <w:lang w:val="es-US" w:eastAsia="es-US"/>
        </w:rPr>
        <w:t xml:space="preserve">. </w:t>
      </w:r>
      <w:hyperlink r:id="rId27" w:tgtFrame="_blank" w:history="1">
        <w:r w:rsidRPr="002D4B0D">
          <w:rPr>
            <w:color w:val="0000FF"/>
            <w:u w:val="single"/>
            <w:lang w:val="es-US" w:eastAsia="es-US"/>
          </w:rPr>
          <w:t>https://www.paho.org/en/campaigns/world-antimicrobial-resistance-awareness-week-2024</w:t>
        </w:r>
      </w:hyperlink>
    </w:p>
    <w:p w14:paraId="4AEDAA30" w14:textId="77777777" w:rsidR="002D4B0D" w:rsidRPr="002D4B0D" w:rsidRDefault="002D4B0D" w:rsidP="00C73669">
      <w:pPr>
        <w:ind w:left="706" w:hanging="706"/>
        <w:rPr>
          <w:lang w:val="en-US" w:eastAsia="es-US"/>
        </w:rPr>
      </w:pPr>
      <w:r w:rsidRPr="002D4B0D">
        <w:rPr>
          <w:lang w:val="en-US" w:eastAsia="es-US"/>
        </w:rPr>
        <w:t xml:space="preserve">Pan American Health Organization. (2023). </w:t>
      </w:r>
      <w:r w:rsidRPr="00846449">
        <w:rPr>
          <w:i/>
          <w:iCs/>
          <w:lang w:val="en-US" w:eastAsia="es-US"/>
        </w:rPr>
        <w:t>Antimicrobial resistance in the Americas: 2023 report</w:t>
      </w:r>
      <w:r w:rsidRPr="002D4B0D">
        <w:rPr>
          <w:lang w:val="en-US" w:eastAsia="es-US"/>
        </w:rPr>
        <w:t xml:space="preserve">. Washington, D.C.: PAHO. </w:t>
      </w:r>
      <w:hyperlink r:id="rId28" w:tgtFrame="_blank" w:history="1">
        <w:r w:rsidRPr="002D4B0D">
          <w:rPr>
            <w:color w:val="0000FF"/>
            <w:u w:val="single"/>
            <w:lang w:val="en-US" w:eastAsia="es-US"/>
          </w:rPr>
          <w:t>https://www.paho.org/en/publications/antimicrobial-resistance-americas</w:t>
        </w:r>
      </w:hyperlink>
    </w:p>
    <w:p w14:paraId="1AA6C8EF" w14:textId="77777777" w:rsidR="002D4B0D" w:rsidRPr="002D4B0D" w:rsidRDefault="002D4B0D" w:rsidP="00C73669">
      <w:pPr>
        <w:ind w:left="706" w:hanging="706"/>
        <w:rPr>
          <w:lang w:val="es-US" w:eastAsia="es-US"/>
        </w:rPr>
      </w:pPr>
      <w:r w:rsidRPr="002D4B0D">
        <w:rPr>
          <w:lang w:val="es-US" w:eastAsia="es-US"/>
        </w:rPr>
        <w:t xml:space="preserve">Panamá RAM. (2024). </w:t>
      </w:r>
      <w:r w:rsidRPr="00846449">
        <w:rPr>
          <w:i/>
          <w:iCs/>
          <w:lang w:val="es-US" w:eastAsia="es-US"/>
        </w:rPr>
        <w:t>La carga de la resistencia a los antimicrobianos (RAM) en Panamá. Resumen ejecutivo</w:t>
      </w:r>
      <w:r w:rsidRPr="002D4B0D">
        <w:rPr>
          <w:lang w:val="es-US" w:eastAsia="es-US"/>
        </w:rPr>
        <w:t xml:space="preserve">. </w:t>
      </w:r>
      <w:hyperlink r:id="rId29" w:tgtFrame="_blank" w:history="1">
        <w:r w:rsidRPr="002D4B0D">
          <w:rPr>
            <w:color w:val="0000FF"/>
            <w:u w:val="single"/>
            <w:lang w:val="es-US" w:eastAsia="es-US"/>
          </w:rPr>
          <w:t>https://www.healthdata.org/sites/default/files/2025-08/Panama_es.pdf</w:t>
        </w:r>
      </w:hyperlink>
    </w:p>
    <w:p w14:paraId="0B7735F8" w14:textId="16F7B880" w:rsidR="002D4B0D" w:rsidRPr="002D4B0D" w:rsidRDefault="002D4B0D" w:rsidP="00C73669">
      <w:pPr>
        <w:ind w:left="706" w:hanging="706"/>
        <w:rPr>
          <w:lang w:val="en-US" w:eastAsia="es-US"/>
        </w:rPr>
      </w:pPr>
      <w:r w:rsidRPr="002D4B0D">
        <w:rPr>
          <w:lang w:val="es-US" w:eastAsia="es-US"/>
        </w:rPr>
        <w:t xml:space="preserve">Ramanan Laxminarayan, Thomas Van Boeckel, Isabel Frost, Samuel Kariuki, Ejaz Ahmed Khan, </w:t>
      </w:r>
      <w:proofErr w:type="spellStart"/>
      <w:r w:rsidRPr="002D4B0D">
        <w:rPr>
          <w:lang w:val="es-US" w:eastAsia="es-US"/>
        </w:rPr>
        <w:t>Direk</w:t>
      </w:r>
      <w:proofErr w:type="spellEnd"/>
      <w:r w:rsidRPr="002D4B0D">
        <w:rPr>
          <w:lang w:val="es-US" w:eastAsia="es-US"/>
        </w:rPr>
        <w:t xml:space="preserve"> </w:t>
      </w:r>
      <w:proofErr w:type="spellStart"/>
      <w:r w:rsidRPr="002D4B0D">
        <w:rPr>
          <w:lang w:val="es-US" w:eastAsia="es-US"/>
        </w:rPr>
        <w:t>Limmathurotsakul</w:t>
      </w:r>
      <w:proofErr w:type="spellEnd"/>
      <w:r w:rsidRPr="002D4B0D">
        <w:rPr>
          <w:lang w:val="es-US" w:eastAsia="es-US"/>
        </w:rPr>
        <w:t>, D G Joakim Larsson, Gabriel Levy-</w:t>
      </w:r>
      <w:proofErr w:type="spellStart"/>
      <w:r w:rsidRPr="002D4B0D">
        <w:rPr>
          <w:lang w:val="es-US" w:eastAsia="es-US"/>
        </w:rPr>
        <w:t>Hara</w:t>
      </w:r>
      <w:proofErr w:type="spellEnd"/>
      <w:r w:rsidRPr="002D4B0D">
        <w:rPr>
          <w:lang w:val="es-US" w:eastAsia="es-US"/>
        </w:rPr>
        <w:t xml:space="preserve">, Marc Mendelson, Kevin Outterson, Sharon J Peacock, Yong-Guan Zhu. </w:t>
      </w:r>
      <w:r w:rsidRPr="002D4B0D">
        <w:rPr>
          <w:lang w:val="en-US" w:eastAsia="es-US"/>
        </w:rPr>
        <w:t xml:space="preserve">(2020). The Lancet Infectious Diseases Commission on antimicrobial resistance: 6 years later, The </w:t>
      </w:r>
      <w:r w:rsidRPr="00BD1F74">
        <w:rPr>
          <w:i/>
          <w:iCs/>
          <w:lang w:val="en-US" w:eastAsia="es-US"/>
        </w:rPr>
        <w:t>Lancet Infectious Diseases</w:t>
      </w:r>
      <w:r w:rsidRPr="002D4B0D">
        <w:rPr>
          <w:lang w:val="en-US" w:eastAsia="es-US"/>
        </w:rPr>
        <w:t xml:space="preserve">, </w:t>
      </w:r>
      <w:r w:rsidR="00846449">
        <w:rPr>
          <w:lang w:val="en-US" w:eastAsia="es-US"/>
        </w:rPr>
        <w:t>4(</w:t>
      </w:r>
      <w:r w:rsidRPr="002D4B0D">
        <w:rPr>
          <w:lang w:val="en-US" w:eastAsia="es-US"/>
        </w:rPr>
        <w:t>20</w:t>
      </w:r>
      <w:r w:rsidR="00846449">
        <w:rPr>
          <w:lang w:val="en-US" w:eastAsia="es-US"/>
        </w:rPr>
        <w:t>)</w:t>
      </w:r>
      <w:r w:rsidRPr="002D4B0D">
        <w:rPr>
          <w:lang w:val="en-US" w:eastAsia="es-US"/>
        </w:rPr>
        <w:t>, e51-e60</w:t>
      </w:r>
      <w:r w:rsidR="00846449">
        <w:rPr>
          <w:lang w:val="en-US" w:eastAsia="es-US"/>
        </w:rPr>
        <w:t>.</w:t>
      </w:r>
      <w:r w:rsidRPr="002D4B0D">
        <w:rPr>
          <w:lang w:val="en-US" w:eastAsia="es-US"/>
        </w:rPr>
        <w:t xml:space="preserve"> </w:t>
      </w:r>
      <w:hyperlink r:id="rId30" w:tgtFrame="_blank" w:history="1">
        <w:r w:rsidRPr="002D4B0D">
          <w:rPr>
            <w:color w:val="0000FF"/>
            <w:u w:val="single"/>
            <w:lang w:val="en-US" w:eastAsia="es-US"/>
          </w:rPr>
          <w:t>https://doi.org/10.1016/S1473-3099(20)30003-7</w:t>
        </w:r>
      </w:hyperlink>
      <w:r w:rsidRPr="002D4B0D">
        <w:rPr>
          <w:lang w:val="en-US" w:eastAsia="es-US"/>
        </w:rPr>
        <w:t>.</w:t>
      </w:r>
    </w:p>
    <w:p w14:paraId="775E26F5" w14:textId="77777777" w:rsidR="002D4B0D" w:rsidRPr="002D4B0D" w:rsidRDefault="002D4B0D" w:rsidP="00C73669">
      <w:pPr>
        <w:ind w:left="706" w:hanging="706"/>
        <w:rPr>
          <w:lang w:val="es-US" w:eastAsia="es-US"/>
        </w:rPr>
      </w:pPr>
      <w:r w:rsidRPr="00D77318">
        <w:rPr>
          <w:lang w:val="en-US" w:eastAsia="es-US"/>
        </w:rPr>
        <w:t xml:space="preserve">Ruiz Ramos, J., Suárez-Lledó Grande, A., </w:t>
      </w:r>
      <w:proofErr w:type="spellStart"/>
      <w:r w:rsidRPr="00D77318">
        <w:rPr>
          <w:lang w:val="en-US" w:eastAsia="es-US"/>
        </w:rPr>
        <w:t>Santolaya</w:t>
      </w:r>
      <w:proofErr w:type="spellEnd"/>
      <w:r w:rsidRPr="00D77318">
        <w:rPr>
          <w:lang w:val="en-US" w:eastAsia="es-US"/>
        </w:rPr>
        <w:t xml:space="preserve"> Perrín, M. R., Caballero Requejo, C., Hijazi Vega, M., López Vinardell, L., ... </w:t>
      </w:r>
      <w:r w:rsidRPr="002D4B0D">
        <w:rPr>
          <w:lang w:val="es-US" w:eastAsia="es-US"/>
        </w:rPr>
        <w:t xml:space="preserve">&amp; Calzón Blanco, C. (2024). Programas de optimización del uso de antimicrobianos en los servicios de urgencias españoles: Estudio PROA-URG. </w:t>
      </w:r>
      <w:r w:rsidRPr="00BD1F74">
        <w:rPr>
          <w:i/>
          <w:iCs/>
          <w:lang w:val="es-US" w:eastAsia="es-US"/>
        </w:rPr>
        <w:t>Revista Española de Quimioterapia</w:t>
      </w:r>
      <w:r w:rsidRPr="002D4B0D">
        <w:rPr>
          <w:lang w:val="es-US" w:eastAsia="es-US"/>
        </w:rPr>
        <w:t xml:space="preserve">, 37(2). </w:t>
      </w:r>
      <w:hyperlink r:id="rId31" w:tgtFrame="_blank" w:history="1">
        <w:r w:rsidRPr="002D4B0D">
          <w:rPr>
            <w:color w:val="0000FF"/>
            <w:u w:val="single"/>
            <w:lang w:val="es-US" w:eastAsia="es-US"/>
          </w:rPr>
          <w:t>https://docusalut.com/rest/api/core/bitstreams/2ff33138-cdec-450a-8e7c-7fd1732826d4/content</w:t>
        </w:r>
      </w:hyperlink>
    </w:p>
    <w:p w14:paraId="72098A39" w14:textId="77777777" w:rsidR="002D4B0D" w:rsidRPr="002D4B0D" w:rsidRDefault="002D4B0D" w:rsidP="00C73669">
      <w:pPr>
        <w:ind w:left="706" w:hanging="706"/>
        <w:rPr>
          <w:lang w:val="en-US" w:eastAsia="es-US"/>
        </w:rPr>
      </w:pPr>
      <w:r w:rsidRPr="002D4B0D">
        <w:rPr>
          <w:lang w:val="es-US" w:eastAsia="es-US"/>
        </w:rPr>
        <w:t xml:space="preserve">Tacconelli, E., Carrara, E., Savoldi, A., </w:t>
      </w:r>
      <w:proofErr w:type="spellStart"/>
      <w:r w:rsidRPr="002D4B0D">
        <w:rPr>
          <w:lang w:val="es-US" w:eastAsia="es-US"/>
        </w:rPr>
        <w:t>Harbarth</w:t>
      </w:r>
      <w:proofErr w:type="spellEnd"/>
      <w:r w:rsidRPr="002D4B0D">
        <w:rPr>
          <w:lang w:val="es-US" w:eastAsia="es-US"/>
        </w:rPr>
        <w:t xml:space="preserve">, S., Mendelson, M., Monnet, D. L., Pulcini, C., </w:t>
      </w:r>
      <w:proofErr w:type="spellStart"/>
      <w:r w:rsidRPr="002D4B0D">
        <w:rPr>
          <w:lang w:val="es-US" w:eastAsia="es-US"/>
        </w:rPr>
        <w:t>Kahlmeter</w:t>
      </w:r>
      <w:proofErr w:type="spellEnd"/>
      <w:r w:rsidRPr="002D4B0D">
        <w:rPr>
          <w:lang w:val="es-US" w:eastAsia="es-US"/>
        </w:rPr>
        <w:t xml:space="preserve">, G., </w:t>
      </w:r>
      <w:proofErr w:type="spellStart"/>
      <w:r w:rsidRPr="002D4B0D">
        <w:rPr>
          <w:lang w:val="es-US" w:eastAsia="es-US"/>
        </w:rPr>
        <w:t>Kluytmans</w:t>
      </w:r>
      <w:proofErr w:type="spellEnd"/>
      <w:r w:rsidRPr="002D4B0D">
        <w:rPr>
          <w:lang w:val="es-US" w:eastAsia="es-US"/>
        </w:rPr>
        <w:t xml:space="preserve">, J., Carmeli, Y., Ouellette, M., </w:t>
      </w:r>
      <w:proofErr w:type="spellStart"/>
      <w:r w:rsidRPr="002D4B0D">
        <w:rPr>
          <w:lang w:val="es-US" w:eastAsia="es-US"/>
        </w:rPr>
        <w:t>Outterson</w:t>
      </w:r>
      <w:proofErr w:type="spellEnd"/>
      <w:r w:rsidRPr="002D4B0D">
        <w:rPr>
          <w:lang w:val="es-US" w:eastAsia="es-US"/>
        </w:rPr>
        <w:t xml:space="preserve">, K., Patel, J., Cavaleri, M., Cox, E. M., Houchens, C. R., Grayson, M. L., Hansen, P., Singh, N., </w:t>
      </w:r>
      <w:proofErr w:type="spellStart"/>
      <w:r w:rsidRPr="002D4B0D">
        <w:rPr>
          <w:lang w:val="es-US" w:eastAsia="es-US"/>
        </w:rPr>
        <w:t>Theuretzbacher</w:t>
      </w:r>
      <w:proofErr w:type="spellEnd"/>
      <w:r w:rsidRPr="002D4B0D">
        <w:rPr>
          <w:lang w:val="es-US" w:eastAsia="es-US"/>
        </w:rPr>
        <w:t xml:space="preserve">, U. (2018). </w:t>
      </w:r>
      <w:r w:rsidRPr="002D4B0D">
        <w:rPr>
          <w:lang w:val="en-US" w:eastAsia="es-US"/>
        </w:rPr>
        <w:t xml:space="preserve">WHO Pathogens Priority List Working Group (2018). Discovery, research, and development of new antibiotics: the WHO priority list of antibiotic-resistant bacteria and tuberculosis. </w:t>
      </w:r>
      <w:r w:rsidRPr="00BD1F74">
        <w:rPr>
          <w:i/>
          <w:iCs/>
          <w:lang w:val="en-US" w:eastAsia="es-US"/>
        </w:rPr>
        <w:lastRenderedPageBreak/>
        <w:t>The Lancet. Infectious diseases</w:t>
      </w:r>
      <w:r w:rsidRPr="002D4B0D">
        <w:rPr>
          <w:lang w:val="en-US" w:eastAsia="es-US"/>
        </w:rPr>
        <w:t xml:space="preserve">, 18(3), 318–327. </w:t>
      </w:r>
      <w:hyperlink r:id="rId32" w:tgtFrame="_blank" w:history="1">
        <w:r w:rsidRPr="002D4B0D">
          <w:rPr>
            <w:color w:val="0000FF"/>
            <w:u w:val="single"/>
            <w:lang w:val="en-US" w:eastAsia="es-US"/>
          </w:rPr>
          <w:t>https://doi.org/10.1016/S1473-3099(17)30753-3</w:t>
        </w:r>
      </w:hyperlink>
    </w:p>
    <w:p w14:paraId="7308AB68" w14:textId="50E3AF19" w:rsidR="002D4B0D" w:rsidRPr="00846449" w:rsidRDefault="002D4B0D" w:rsidP="00C73669">
      <w:pPr>
        <w:ind w:left="706" w:hanging="706"/>
        <w:rPr>
          <w:lang w:val="es-US" w:eastAsia="es-US"/>
        </w:rPr>
      </w:pPr>
      <w:r w:rsidRPr="002D4B0D">
        <w:rPr>
          <w:lang w:val="en-US" w:eastAsia="es-US"/>
        </w:rPr>
        <w:t xml:space="preserve">Ventola C. L. (2014). Social media and health care professionals: benefits, risks, and best practices. </w:t>
      </w:r>
      <w:r w:rsidRPr="00BD1F74">
        <w:rPr>
          <w:i/>
          <w:iCs/>
          <w:lang w:val="en-US" w:eastAsia="es-US"/>
        </w:rPr>
        <w:t>P &amp; T: a peer-reviewed journal for formulary management,</w:t>
      </w:r>
      <w:r w:rsidRPr="002D4B0D">
        <w:rPr>
          <w:lang w:val="en-US" w:eastAsia="es-US"/>
        </w:rPr>
        <w:t xml:space="preserve"> 39(7), 491–520.</w:t>
      </w:r>
      <w:r w:rsidR="00BD1F74" w:rsidRPr="00BD1F74">
        <w:rPr>
          <w:lang w:val="en-US"/>
        </w:rPr>
        <w:t xml:space="preserve"> </w:t>
      </w:r>
      <w:hyperlink r:id="rId33" w:history="1">
        <w:r w:rsidR="00846449" w:rsidRPr="00846449">
          <w:rPr>
            <w:rStyle w:val="Hipervnculo"/>
            <w:lang w:val="es-US" w:eastAsia="es-US"/>
          </w:rPr>
          <w:t>https://pmc.ncbi.nlm.nih.gov/articles/PMC4103576/</w:t>
        </w:r>
      </w:hyperlink>
    </w:p>
    <w:p w14:paraId="2EA4BAFB" w14:textId="77777777" w:rsidR="002D4B0D" w:rsidRPr="002D4B0D" w:rsidRDefault="002D4B0D" w:rsidP="00C73669">
      <w:pPr>
        <w:ind w:left="706" w:hanging="706"/>
        <w:rPr>
          <w:lang w:val="es-US" w:eastAsia="es-US"/>
        </w:rPr>
      </w:pPr>
      <w:r w:rsidRPr="00846449">
        <w:rPr>
          <w:lang w:val="es-US" w:eastAsia="es-US"/>
        </w:rPr>
        <w:t xml:space="preserve">World Health Organization. </w:t>
      </w:r>
      <w:r w:rsidRPr="002D4B0D">
        <w:rPr>
          <w:lang w:val="es-US" w:eastAsia="es-US"/>
        </w:rPr>
        <w:t xml:space="preserve">(2023). </w:t>
      </w:r>
      <w:r w:rsidRPr="00846449">
        <w:rPr>
          <w:i/>
          <w:iCs/>
          <w:lang w:val="es-US" w:eastAsia="es-US"/>
        </w:rPr>
        <w:t>Resistencia antimicrobiana: una amenaza real</w:t>
      </w:r>
      <w:r w:rsidRPr="002D4B0D">
        <w:rPr>
          <w:lang w:val="es-US" w:eastAsia="es-US"/>
        </w:rPr>
        <w:t xml:space="preserve">. </w:t>
      </w:r>
      <w:hyperlink r:id="rId34" w:tgtFrame="_blank" w:history="1">
        <w:r w:rsidRPr="002D4B0D">
          <w:rPr>
            <w:color w:val="0000FF"/>
            <w:u w:val="single"/>
            <w:lang w:val="es-US" w:eastAsia="es-US"/>
          </w:rPr>
          <w:t>https://www.paho.org/es/noticias/21-11-2023-resistencia-antimicrobiana-amenaza-real</w:t>
        </w:r>
      </w:hyperlink>
    </w:p>
    <w:p w14:paraId="540F00B5" w14:textId="77777777" w:rsidR="002D4B0D" w:rsidRDefault="002D4B0D" w:rsidP="002D4B0D">
      <w:pPr>
        <w:ind w:left="706" w:hanging="706"/>
        <w:jc w:val="both"/>
        <w:rPr>
          <w:rFonts w:eastAsia="Calibri"/>
          <w:b/>
          <w:bCs/>
          <w:lang w:val="es-PA" w:eastAsia="en-US"/>
        </w:rPr>
      </w:pPr>
    </w:p>
    <w:sectPr w:rsidR="002D4B0D" w:rsidSect="00FA2835">
      <w:headerReference w:type="even" r:id="rId35"/>
      <w:headerReference w:type="default" r:id="rId36"/>
      <w:footerReference w:type="even" r:id="rId37"/>
      <w:footerReference w:type="default" r:id="rId38"/>
      <w:headerReference w:type="first" r:id="rId39"/>
      <w:footerReference w:type="first" r:id="rId40"/>
      <w:pgSz w:w="12240" w:h="15840"/>
      <w:pgMar w:top="1750" w:right="2268" w:bottom="2430" w:left="3402"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2ABB4" w14:textId="77777777" w:rsidR="00B87F78" w:rsidRDefault="00B87F78" w:rsidP="00863BC7">
      <w:r>
        <w:separator/>
      </w:r>
    </w:p>
  </w:endnote>
  <w:endnote w:type="continuationSeparator" w:id="0">
    <w:p w14:paraId="3FAB4DDD" w14:textId="77777777" w:rsidR="00B87F78" w:rsidRDefault="00B87F78" w:rsidP="00863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Ligth">
    <w:altName w:val="Times New Roman"/>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Times">
    <w:altName w:val="Sylfae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Gill Sans MT">
    <w:charset w:val="00"/>
    <w:family w:val="swiss"/>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113046999"/>
      <w:docPartObj>
        <w:docPartGallery w:val="Page Numbers (Bottom of Page)"/>
        <w:docPartUnique/>
      </w:docPartObj>
    </w:sdtPr>
    <w:sdtContent>
      <w:p w14:paraId="79AED77C" w14:textId="77777777" w:rsidR="001808A0" w:rsidRDefault="00427D1F">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438DAD8D" w14:textId="77777777" w:rsidR="00872B12" w:rsidRDefault="00872B12" w:rsidP="00872B12">
    <w:pPr>
      <w:pStyle w:val="Piedepgina"/>
      <w:ind w:right="360"/>
    </w:pPr>
  </w:p>
  <w:p w14:paraId="2D47DDA7" w14:textId="77777777" w:rsidR="00BF3E83" w:rsidRDefault="00BF3E83"/>
  <w:p w14:paraId="390F2AEE" w14:textId="77777777" w:rsidR="00F91CC7" w:rsidRDefault="00F91CC7"/>
  <w:p w14:paraId="15EECF72" w14:textId="77777777" w:rsidR="00F91CC7" w:rsidRDefault="00F91CC7"/>
  <w:p w14:paraId="0598F9DF" w14:textId="77777777" w:rsidR="00F91CC7" w:rsidRDefault="00F91CC7"/>
  <w:p w14:paraId="58B68EFE" w14:textId="77777777" w:rsidR="00F91CC7" w:rsidRDefault="00F91CC7"/>
  <w:p w14:paraId="6E987BD7" w14:textId="77777777" w:rsidR="00F0795D" w:rsidRDefault="00F0795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Fonts w:ascii="Times New Roman" w:hAnsi="Times New Roman" w:cs="Times New Roman"/>
        <w:sz w:val="24"/>
        <w:szCs w:val="24"/>
      </w:rPr>
      <w:id w:val="-53246056"/>
      <w:docPartObj>
        <w:docPartGallery w:val="Page Numbers (Bottom of Page)"/>
        <w:docPartUnique/>
      </w:docPartObj>
    </w:sdtPr>
    <w:sdtContent>
      <w:p w14:paraId="5B1BF8F3" w14:textId="77777777" w:rsidR="001808A0" w:rsidRDefault="00427D1F">
        <w:pPr>
          <w:pStyle w:val="Piedepgina"/>
          <w:framePr w:wrap="none" w:vAnchor="text" w:hAnchor="page" w:x="2050" w:yAlign="bottom"/>
          <w:rPr>
            <w:rStyle w:val="Nmerodepgina"/>
            <w:rFonts w:ascii="Times New Roman" w:hAnsi="Times New Roman" w:cs="Times New Roman"/>
            <w:sz w:val="24"/>
            <w:szCs w:val="24"/>
          </w:rPr>
        </w:pPr>
        <w:r w:rsidRPr="0065152B">
          <w:rPr>
            <w:rStyle w:val="Nmerodepgina"/>
            <w:rFonts w:ascii="Times New Roman" w:hAnsi="Times New Roman" w:cs="Times New Roman"/>
            <w:sz w:val="24"/>
            <w:szCs w:val="24"/>
          </w:rPr>
          <w:fldChar w:fldCharType="begin"/>
        </w:r>
        <w:r w:rsidRPr="0065152B">
          <w:rPr>
            <w:rStyle w:val="Nmerodepgina"/>
            <w:rFonts w:ascii="Times New Roman" w:hAnsi="Times New Roman" w:cs="Times New Roman"/>
            <w:sz w:val="24"/>
            <w:szCs w:val="24"/>
          </w:rPr>
          <w:instrText xml:space="preserve"> PAGE </w:instrText>
        </w:r>
        <w:r w:rsidRPr="0065152B">
          <w:rPr>
            <w:rStyle w:val="Nmerodepgina"/>
            <w:rFonts w:ascii="Times New Roman" w:hAnsi="Times New Roman" w:cs="Times New Roman"/>
            <w:sz w:val="24"/>
            <w:szCs w:val="24"/>
          </w:rPr>
          <w:fldChar w:fldCharType="separate"/>
        </w:r>
        <w:r w:rsidR="00583753" w:rsidRPr="0065152B">
          <w:rPr>
            <w:rStyle w:val="Nmerodepgina"/>
            <w:rFonts w:ascii="Times New Roman" w:hAnsi="Times New Roman" w:cs="Times New Roman"/>
            <w:noProof/>
            <w:sz w:val="24"/>
            <w:szCs w:val="24"/>
          </w:rPr>
          <w:t>1</w:t>
        </w:r>
        <w:r w:rsidRPr="0065152B">
          <w:rPr>
            <w:rStyle w:val="Nmerodepgina"/>
            <w:rFonts w:ascii="Times New Roman" w:hAnsi="Times New Roman" w:cs="Times New Roman"/>
            <w:sz w:val="24"/>
            <w:szCs w:val="24"/>
          </w:rPr>
          <w:fldChar w:fldCharType="end"/>
        </w:r>
      </w:p>
    </w:sdtContent>
  </w:sdt>
  <w:sdt>
    <w:sdtPr>
      <w:rPr>
        <w:rStyle w:val="Nmerodepgina"/>
      </w:rPr>
      <w:id w:val="672379574"/>
      <w:docPartObj>
        <w:docPartGallery w:val="Page Numbers (Bottom of Page)"/>
        <w:docPartUnique/>
      </w:docPartObj>
    </w:sdtPr>
    <w:sdtEndPr>
      <w:rPr>
        <w:rStyle w:val="Nmerodepgina"/>
        <w:color w:val="FFFFFF"/>
        <w:sz w:val="24"/>
        <w:szCs w:val="24"/>
      </w:rPr>
    </w:sdtEndPr>
    <w:sdtContent>
      <w:p w14:paraId="5B2A688E" w14:textId="77777777" w:rsidR="00872B12" w:rsidRPr="008C3DD7" w:rsidRDefault="00000000" w:rsidP="00E465A1">
        <w:pPr>
          <w:pStyle w:val="Piedepgina"/>
          <w:framePr w:w="462" w:wrap="none" w:vAnchor="text" w:hAnchor="page" w:x="11078" w:y="-6462"/>
          <w:ind w:right="360"/>
          <w:rPr>
            <w:rStyle w:val="Nmerodepgina"/>
            <w:color w:val="FFFFFF"/>
            <w:sz w:val="24"/>
            <w:szCs w:val="24"/>
            <w:lang w:val="en-US"/>
          </w:rPr>
        </w:pPr>
      </w:p>
    </w:sdtContent>
  </w:sdt>
  <w:p w14:paraId="04F9E71B" w14:textId="06022FBA" w:rsidR="00F0795D" w:rsidRPr="00706DA9" w:rsidRDefault="005D77CA" w:rsidP="0061284C">
    <w:pPr>
      <w:ind w:right="-93"/>
      <w:jc w:val="center"/>
      <w:rPr>
        <w:rFonts w:ascii="Times" w:hAnsi="Times" w:cs="Times"/>
        <w:sz w:val="16"/>
        <w:szCs w:val="16"/>
        <w:lang w:val="es-US"/>
      </w:rPr>
    </w:pPr>
    <w:r w:rsidRPr="005D77CA">
      <w:rPr>
        <w:rFonts w:ascii="Times" w:hAnsi="Times" w:cs="Times"/>
        <w:sz w:val="16"/>
        <w:szCs w:val="16"/>
        <w:lang w:val="es-US"/>
      </w:rPr>
      <w:t>Impacto de la resistencia antimicrobiana en el primer nivel de atención.</w:t>
    </w:r>
    <w:r>
      <w:rPr>
        <w:rFonts w:ascii="Times" w:hAnsi="Times" w:cs="Times"/>
        <w:sz w:val="16"/>
        <w:szCs w:val="16"/>
        <w:lang w:val="es-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18070" w14:textId="77777777" w:rsidR="00FD6864" w:rsidRDefault="00427D1F">
    <w:pPr>
      <w:pStyle w:val="Piedepgina"/>
    </w:pPr>
    <w:r w:rsidRPr="004F7A44">
      <w:rPr>
        <w:rFonts w:ascii="Times" w:hAnsi="Times" w:cs="Times"/>
        <w:b/>
        <w:noProof/>
        <w:lang w:val="en-US"/>
      </w:rPr>
      <mc:AlternateContent>
        <mc:Choice Requires="wps">
          <w:drawing>
            <wp:anchor distT="0" distB="0" distL="114300" distR="114300" simplePos="0" relativeHeight="251665408" behindDoc="0" locked="0" layoutInCell="1" allowOverlap="1" wp14:anchorId="036B7504" wp14:editId="7639BC47">
              <wp:simplePos x="0" y="0"/>
              <wp:positionH relativeFrom="column">
                <wp:posOffset>-2002008</wp:posOffset>
              </wp:positionH>
              <wp:positionV relativeFrom="paragraph">
                <wp:posOffset>-3282755</wp:posOffset>
              </wp:positionV>
              <wp:extent cx="1600200" cy="3719147"/>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1600200" cy="3719147"/>
                      </a:xfrm>
                      <a:prstGeom prst="rect">
                        <a:avLst/>
                      </a:prstGeom>
                      <a:solidFill>
                        <a:schemeClr val="bg1">
                          <a:lumMod val="75000"/>
                        </a:schemeClr>
                      </a:solidFill>
                      <a:ln w="6350">
                        <a:noFill/>
                      </a:ln>
                    </wps:spPr>
                    <wps:txbx>
                      <w:txbxContent>
                        <w:p w14:paraId="72CAAC56" w14:textId="77777777" w:rsidR="004B00CB" w:rsidRDefault="000313EE" w:rsidP="00656BA0">
                          <w:pPr>
                            <w:rPr>
                              <w:rFonts w:eastAsia="Cambria"/>
                              <w:sz w:val="2"/>
                              <w:szCs w:val="2"/>
                            </w:rPr>
                          </w:pPr>
                          <w:r w:rsidRPr="00012468">
                            <w:rPr>
                              <w:rFonts w:eastAsia="Cambria"/>
                              <w:sz w:val="2"/>
                              <w:szCs w:val="2"/>
                            </w:rPr>
                            <w:t xml:space="preserve">* </w:t>
                          </w:r>
                        </w:p>
                        <w:p w14:paraId="6442546E" w14:textId="77777777" w:rsidR="004B00CB" w:rsidRDefault="004B00CB" w:rsidP="00656BA0">
                          <w:pPr>
                            <w:rPr>
                              <w:rFonts w:eastAsia="Cambria"/>
                              <w:sz w:val="2"/>
                              <w:szCs w:val="2"/>
                            </w:rPr>
                          </w:pPr>
                        </w:p>
                        <w:p w14:paraId="5FADDD18" w14:textId="77777777" w:rsidR="004B00CB" w:rsidRDefault="004B00CB" w:rsidP="00656BA0">
                          <w:pPr>
                            <w:rPr>
                              <w:rFonts w:eastAsia="Cambria"/>
                              <w:sz w:val="2"/>
                              <w:szCs w:val="2"/>
                            </w:rPr>
                          </w:pPr>
                        </w:p>
                        <w:p w14:paraId="2C07D975" w14:textId="77777777" w:rsidR="004B00CB" w:rsidRPr="004B00CB" w:rsidRDefault="004B00CB" w:rsidP="00656BA0">
                          <w:pPr>
                            <w:rPr>
                              <w:rFonts w:eastAsia="Cambria"/>
                              <w:color w:val="FF0000"/>
                              <w:sz w:val="2"/>
                              <w:szCs w:val="2"/>
                            </w:rPr>
                          </w:pPr>
                        </w:p>
                        <w:p w14:paraId="442E1B05" w14:textId="77777777" w:rsidR="004B00CB" w:rsidRPr="002C128F" w:rsidRDefault="004B00CB" w:rsidP="00656BA0">
                          <w:pPr>
                            <w:rPr>
                              <w:sz w:val="16"/>
                              <w:szCs w:val="16"/>
                            </w:rPr>
                          </w:pPr>
                          <w:r w:rsidRPr="002C128F">
                            <w:rPr>
                              <w:sz w:val="16"/>
                              <w:szCs w:val="16"/>
                            </w:rPr>
                            <w:t xml:space="preserve">Información de autores </w:t>
                          </w:r>
                        </w:p>
                        <w:p w14:paraId="27AF9820" w14:textId="0D116F59" w:rsidR="00837AA2" w:rsidRPr="00837AA2" w:rsidRDefault="00837AA2" w:rsidP="00837AA2">
                          <w:pPr>
                            <w:rPr>
                              <w:sz w:val="16"/>
                              <w:szCs w:val="16"/>
                            </w:rPr>
                          </w:pPr>
                          <w:r w:rsidRPr="00837AA2">
                            <w:rPr>
                              <w:sz w:val="16"/>
                              <w:szCs w:val="16"/>
                            </w:rPr>
                            <w:t>*Universidad de Santander – Campus Panamá, Panamá.</w:t>
                          </w:r>
                        </w:p>
                        <w:p w14:paraId="166BCBB5" w14:textId="77777777" w:rsidR="00837AA2" w:rsidRPr="00837AA2" w:rsidRDefault="00837AA2" w:rsidP="00837AA2">
                          <w:pPr>
                            <w:rPr>
                              <w:sz w:val="16"/>
                              <w:szCs w:val="16"/>
                            </w:rPr>
                          </w:pPr>
                          <w:r w:rsidRPr="00837AA2">
                            <w:rPr>
                              <w:sz w:val="16"/>
                              <w:szCs w:val="16"/>
                            </w:rPr>
                            <w:t>drayanettores@yahoo.es</w:t>
                          </w:r>
                        </w:p>
                        <w:p w14:paraId="48B8063D" w14:textId="4072AE8E" w:rsidR="00837AA2" w:rsidRDefault="00837AA2" w:rsidP="00837AA2">
                          <w:pPr>
                            <w:rPr>
                              <w:sz w:val="16"/>
                              <w:szCs w:val="16"/>
                            </w:rPr>
                          </w:pPr>
                          <w:r w:rsidRPr="00837AA2">
                            <w:rPr>
                              <w:sz w:val="16"/>
                              <w:szCs w:val="16"/>
                            </w:rPr>
                            <w:t>https://orcid.org/0009-0000-9644-325X</w:t>
                          </w:r>
                        </w:p>
                        <w:p w14:paraId="7A47AB2F" w14:textId="1D00F4B2" w:rsidR="00837AA2" w:rsidRDefault="00504E82" w:rsidP="0086612E">
                          <w:pPr>
                            <w:rPr>
                              <w:sz w:val="16"/>
                              <w:szCs w:val="16"/>
                            </w:rPr>
                          </w:pPr>
                          <w:r w:rsidRPr="002C128F">
                            <w:rPr>
                              <w:sz w:val="16"/>
                              <w:szCs w:val="16"/>
                            </w:rPr>
                            <w:t>*</w:t>
                          </w:r>
                          <w:r w:rsidR="00837AA2" w:rsidRPr="00837AA2">
                            <w:rPr>
                              <w:sz w:val="16"/>
                              <w:szCs w:val="16"/>
                            </w:rPr>
                            <w:t>*</w:t>
                          </w:r>
                          <w:r w:rsidR="0038100B" w:rsidRPr="0038100B">
                            <w:t xml:space="preserve"> </w:t>
                          </w:r>
                          <w:r w:rsidR="0038100B" w:rsidRPr="0038100B">
                            <w:rPr>
                              <w:sz w:val="16"/>
                              <w:szCs w:val="16"/>
                            </w:rPr>
                            <w:t xml:space="preserve">Universidad Santander. </w:t>
                          </w:r>
                        </w:p>
                        <w:p w14:paraId="552D9CDC" w14:textId="2A7F3571" w:rsidR="0038100B" w:rsidRDefault="0038100B" w:rsidP="0086612E">
                          <w:r w:rsidRPr="0038100B">
                            <w:rPr>
                              <w:sz w:val="16"/>
                              <w:szCs w:val="16"/>
                            </w:rPr>
                            <w:t xml:space="preserve">Colombia. </w:t>
                          </w:r>
                          <w:r w:rsidR="0086612E" w:rsidRPr="0086612E">
                            <w:t xml:space="preserve"> </w:t>
                          </w:r>
                        </w:p>
                        <w:p w14:paraId="6D4E4EFC" w14:textId="77777777" w:rsidR="0038100B" w:rsidRPr="0038100B" w:rsidRDefault="0038100B" w:rsidP="0038100B">
                          <w:pPr>
                            <w:rPr>
                              <w:sz w:val="16"/>
                              <w:szCs w:val="16"/>
                            </w:rPr>
                          </w:pPr>
                          <w:r w:rsidRPr="0038100B">
                            <w:rPr>
                              <w:sz w:val="16"/>
                              <w:szCs w:val="16"/>
                            </w:rPr>
                            <w:t>johana.gutierrez@udes.edu.co</w:t>
                          </w:r>
                        </w:p>
                        <w:p w14:paraId="3A770080" w14:textId="1BA0355A" w:rsidR="0038100B" w:rsidRPr="0038100B" w:rsidRDefault="0038100B" w:rsidP="0038100B">
                          <w:pPr>
                            <w:rPr>
                              <w:sz w:val="16"/>
                              <w:szCs w:val="16"/>
                            </w:rPr>
                          </w:pPr>
                          <w:r w:rsidRPr="0038100B">
                            <w:rPr>
                              <w:sz w:val="16"/>
                              <w:szCs w:val="16"/>
                            </w:rPr>
                            <w:t>https://orcid.org/0000-0001-8082-1471</w:t>
                          </w:r>
                        </w:p>
                        <w:p w14:paraId="370B3418" w14:textId="2071B38C" w:rsidR="00837AA2" w:rsidRPr="00837AA2" w:rsidRDefault="00B25137" w:rsidP="00837AA2">
                          <w:pPr>
                            <w:rPr>
                              <w:sz w:val="16"/>
                              <w:szCs w:val="16"/>
                            </w:rPr>
                          </w:pPr>
                          <w:r>
                            <w:rPr>
                              <w:sz w:val="16"/>
                              <w:szCs w:val="16"/>
                            </w:rPr>
                            <w:t xml:space="preserve"> </w:t>
                          </w:r>
                          <w:r w:rsidRPr="00B25137">
                            <w:rPr>
                              <w:sz w:val="16"/>
                              <w:szCs w:val="16"/>
                            </w:rPr>
                            <w:t>***</w:t>
                          </w:r>
                          <w:r w:rsidR="00837AA2" w:rsidRPr="00837AA2">
                            <w:t xml:space="preserve"> </w:t>
                          </w:r>
                          <w:r w:rsidR="00837AA2" w:rsidRPr="00837AA2">
                            <w:rPr>
                              <w:sz w:val="16"/>
                              <w:szCs w:val="16"/>
                            </w:rPr>
                            <w:t xml:space="preserve">Universidad de Santander de </w:t>
                          </w:r>
                          <w:proofErr w:type="gramStart"/>
                          <w:r w:rsidR="00837AA2" w:rsidRPr="00837AA2">
                            <w:rPr>
                              <w:sz w:val="16"/>
                              <w:szCs w:val="16"/>
                            </w:rPr>
                            <w:t>Panamá,</w:t>
                          </w:r>
                          <w:r w:rsidR="00837AA2">
                            <w:rPr>
                              <w:sz w:val="16"/>
                              <w:szCs w:val="16"/>
                            </w:rPr>
                            <w:t>.</w:t>
                          </w:r>
                          <w:proofErr w:type="gramEnd"/>
                        </w:p>
                        <w:p w14:paraId="1F5AF382" w14:textId="277F8533" w:rsidR="00B25137" w:rsidRPr="00B25137" w:rsidRDefault="00837AA2" w:rsidP="00837AA2">
                          <w:pPr>
                            <w:rPr>
                              <w:sz w:val="16"/>
                              <w:szCs w:val="16"/>
                            </w:rPr>
                          </w:pPr>
                          <w:r w:rsidRPr="00837AA2">
                            <w:rPr>
                              <w:sz w:val="16"/>
                              <w:szCs w:val="16"/>
                            </w:rPr>
                            <w:t xml:space="preserve">nathalia.paez03@gmail.com.  http://orcid.org/0000-0003-0010-7564 </w:t>
                          </w:r>
                          <w:r>
                            <w:rPr>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6B7504" id="_x0000_t202" coordsize="21600,21600" o:spt="202" path="m,l,21600r21600,l21600,xe">
              <v:stroke joinstyle="miter"/>
              <v:path gradientshapeok="t" o:connecttype="rect"/>
            </v:shapetype>
            <v:shape id="Cuadro de texto 4" o:spid="_x0000_s1031" type="#_x0000_t202" style="position:absolute;margin-left:-157.65pt;margin-top:-258.5pt;width:126pt;height:29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" fillcolor="#bfbfbf [2412]" stroked="f" strokeweight=".5pt">
              <v:textbox>
                <w:txbxContent>
                  <w:p w14:paraId="72CAAC56" w14:textId="77777777" w:rsidR="004B00CB" w:rsidRDefault="000313EE" w:rsidP="00656BA0">
                    <w:pPr>
                      <w:rPr>
                        <w:rFonts w:eastAsia="Cambria"/>
                        <w:sz w:val="2"/>
                        <w:szCs w:val="2"/>
                      </w:rPr>
                    </w:pPr>
                    <w:r w:rsidRPr="00012468">
                      <w:rPr>
                        <w:rFonts w:eastAsia="Cambria"/>
                        <w:sz w:val="2"/>
                        <w:szCs w:val="2"/>
                      </w:rPr>
                      <w:t xml:space="preserve">* </w:t>
                    </w:r>
                  </w:p>
                  <w:p w14:paraId="6442546E" w14:textId="77777777" w:rsidR="004B00CB" w:rsidRDefault="004B00CB" w:rsidP="00656BA0">
                    <w:pPr>
                      <w:rPr>
                        <w:rFonts w:eastAsia="Cambria"/>
                        <w:sz w:val="2"/>
                        <w:szCs w:val="2"/>
                      </w:rPr>
                    </w:pPr>
                  </w:p>
                  <w:p w14:paraId="5FADDD18" w14:textId="77777777" w:rsidR="004B00CB" w:rsidRDefault="004B00CB" w:rsidP="00656BA0">
                    <w:pPr>
                      <w:rPr>
                        <w:rFonts w:eastAsia="Cambria"/>
                        <w:sz w:val="2"/>
                        <w:szCs w:val="2"/>
                      </w:rPr>
                    </w:pPr>
                  </w:p>
                  <w:p w14:paraId="2C07D975" w14:textId="77777777" w:rsidR="004B00CB" w:rsidRPr="004B00CB" w:rsidRDefault="004B00CB" w:rsidP="00656BA0">
                    <w:pPr>
                      <w:rPr>
                        <w:rFonts w:eastAsia="Cambria"/>
                        <w:color w:val="FF0000"/>
                        <w:sz w:val="2"/>
                        <w:szCs w:val="2"/>
                      </w:rPr>
                    </w:pPr>
                  </w:p>
                  <w:p w14:paraId="442E1B05" w14:textId="77777777" w:rsidR="004B00CB" w:rsidRPr="002C128F" w:rsidRDefault="004B00CB" w:rsidP="00656BA0">
                    <w:pPr>
                      <w:rPr>
                        <w:sz w:val="16"/>
                        <w:szCs w:val="16"/>
                      </w:rPr>
                    </w:pPr>
                    <w:r w:rsidRPr="002C128F">
                      <w:rPr>
                        <w:sz w:val="16"/>
                        <w:szCs w:val="16"/>
                      </w:rPr>
                      <w:t xml:space="preserve">Información de autores </w:t>
                    </w:r>
                  </w:p>
                  <w:p w14:paraId="27AF9820" w14:textId="0D116F59" w:rsidR="00837AA2" w:rsidRPr="00837AA2" w:rsidRDefault="00837AA2" w:rsidP="00837AA2">
                    <w:pPr>
                      <w:rPr>
                        <w:sz w:val="16"/>
                        <w:szCs w:val="16"/>
                      </w:rPr>
                    </w:pPr>
                    <w:r w:rsidRPr="00837AA2">
                      <w:rPr>
                        <w:sz w:val="16"/>
                        <w:szCs w:val="16"/>
                      </w:rPr>
                      <w:t>*Universidad de Santander – Campus Panamá, Panamá.</w:t>
                    </w:r>
                  </w:p>
                  <w:p w14:paraId="166BCBB5" w14:textId="77777777" w:rsidR="00837AA2" w:rsidRPr="00837AA2" w:rsidRDefault="00837AA2" w:rsidP="00837AA2">
                    <w:pPr>
                      <w:rPr>
                        <w:sz w:val="16"/>
                        <w:szCs w:val="16"/>
                      </w:rPr>
                    </w:pPr>
                    <w:r w:rsidRPr="00837AA2">
                      <w:rPr>
                        <w:sz w:val="16"/>
                        <w:szCs w:val="16"/>
                      </w:rPr>
                      <w:t>drayanettores@yahoo.es</w:t>
                    </w:r>
                  </w:p>
                  <w:p w14:paraId="48B8063D" w14:textId="4072AE8E" w:rsidR="00837AA2" w:rsidRDefault="00837AA2" w:rsidP="00837AA2">
                    <w:pPr>
                      <w:rPr>
                        <w:sz w:val="16"/>
                        <w:szCs w:val="16"/>
                      </w:rPr>
                    </w:pPr>
                    <w:r w:rsidRPr="00837AA2">
                      <w:rPr>
                        <w:sz w:val="16"/>
                        <w:szCs w:val="16"/>
                      </w:rPr>
                      <w:t>https://orcid.org/0009-0000-9644-325X</w:t>
                    </w:r>
                  </w:p>
                  <w:p w14:paraId="7A47AB2F" w14:textId="1D00F4B2" w:rsidR="00837AA2" w:rsidRDefault="00504E82" w:rsidP="0086612E">
                    <w:pPr>
                      <w:rPr>
                        <w:sz w:val="16"/>
                        <w:szCs w:val="16"/>
                      </w:rPr>
                    </w:pPr>
                    <w:r w:rsidRPr="002C128F">
                      <w:rPr>
                        <w:sz w:val="16"/>
                        <w:szCs w:val="16"/>
                      </w:rPr>
                      <w:t>*</w:t>
                    </w:r>
                    <w:r w:rsidR="00837AA2" w:rsidRPr="00837AA2">
                      <w:rPr>
                        <w:sz w:val="16"/>
                        <w:szCs w:val="16"/>
                      </w:rPr>
                      <w:t>*</w:t>
                    </w:r>
                    <w:r w:rsidR="0038100B" w:rsidRPr="0038100B">
                      <w:t xml:space="preserve"> </w:t>
                    </w:r>
                    <w:r w:rsidR="0038100B" w:rsidRPr="0038100B">
                      <w:rPr>
                        <w:sz w:val="16"/>
                        <w:szCs w:val="16"/>
                      </w:rPr>
                      <w:t xml:space="preserve">Universidad Santander. </w:t>
                    </w:r>
                  </w:p>
                  <w:p w14:paraId="552D9CDC" w14:textId="2A7F3571" w:rsidR="0038100B" w:rsidRDefault="0038100B" w:rsidP="0086612E">
                    <w:r w:rsidRPr="0038100B">
                      <w:rPr>
                        <w:sz w:val="16"/>
                        <w:szCs w:val="16"/>
                      </w:rPr>
                      <w:t xml:space="preserve">Colombia. </w:t>
                    </w:r>
                    <w:r w:rsidR="0086612E" w:rsidRPr="0086612E">
                      <w:t xml:space="preserve"> </w:t>
                    </w:r>
                  </w:p>
                  <w:p w14:paraId="6D4E4EFC" w14:textId="77777777" w:rsidR="0038100B" w:rsidRPr="0038100B" w:rsidRDefault="0038100B" w:rsidP="0038100B">
                    <w:pPr>
                      <w:rPr>
                        <w:sz w:val="16"/>
                        <w:szCs w:val="16"/>
                      </w:rPr>
                    </w:pPr>
                    <w:r w:rsidRPr="0038100B">
                      <w:rPr>
                        <w:sz w:val="16"/>
                        <w:szCs w:val="16"/>
                      </w:rPr>
                      <w:t>johana.gutierrez@udes.edu.co</w:t>
                    </w:r>
                  </w:p>
                  <w:p w14:paraId="3A770080" w14:textId="1BA0355A" w:rsidR="0038100B" w:rsidRPr="0038100B" w:rsidRDefault="0038100B" w:rsidP="0038100B">
                    <w:pPr>
                      <w:rPr>
                        <w:sz w:val="16"/>
                        <w:szCs w:val="16"/>
                      </w:rPr>
                    </w:pPr>
                    <w:r w:rsidRPr="0038100B">
                      <w:rPr>
                        <w:sz w:val="16"/>
                        <w:szCs w:val="16"/>
                      </w:rPr>
                      <w:t>https://orcid.org/0000-0001-8082-1471</w:t>
                    </w:r>
                  </w:p>
                  <w:p w14:paraId="370B3418" w14:textId="2071B38C" w:rsidR="00837AA2" w:rsidRPr="00837AA2" w:rsidRDefault="00B25137" w:rsidP="00837AA2">
                    <w:pPr>
                      <w:rPr>
                        <w:sz w:val="16"/>
                        <w:szCs w:val="16"/>
                      </w:rPr>
                    </w:pPr>
                    <w:r>
                      <w:rPr>
                        <w:sz w:val="16"/>
                        <w:szCs w:val="16"/>
                      </w:rPr>
                      <w:t xml:space="preserve"> </w:t>
                    </w:r>
                    <w:r w:rsidRPr="00B25137">
                      <w:rPr>
                        <w:sz w:val="16"/>
                        <w:szCs w:val="16"/>
                      </w:rPr>
                      <w:t>***</w:t>
                    </w:r>
                    <w:r w:rsidR="00837AA2" w:rsidRPr="00837AA2">
                      <w:t xml:space="preserve"> </w:t>
                    </w:r>
                    <w:r w:rsidR="00837AA2" w:rsidRPr="00837AA2">
                      <w:rPr>
                        <w:sz w:val="16"/>
                        <w:szCs w:val="16"/>
                      </w:rPr>
                      <w:t xml:space="preserve">Universidad de Santander de </w:t>
                    </w:r>
                    <w:proofErr w:type="gramStart"/>
                    <w:r w:rsidR="00837AA2" w:rsidRPr="00837AA2">
                      <w:rPr>
                        <w:sz w:val="16"/>
                        <w:szCs w:val="16"/>
                      </w:rPr>
                      <w:t>Panamá,</w:t>
                    </w:r>
                    <w:r w:rsidR="00837AA2">
                      <w:rPr>
                        <w:sz w:val="16"/>
                        <w:szCs w:val="16"/>
                      </w:rPr>
                      <w:t>.</w:t>
                    </w:r>
                    <w:proofErr w:type="gramEnd"/>
                  </w:p>
                  <w:p w14:paraId="1F5AF382" w14:textId="277F8533" w:rsidR="00B25137" w:rsidRPr="00B25137" w:rsidRDefault="00837AA2" w:rsidP="00837AA2">
                    <w:pPr>
                      <w:rPr>
                        <w:sz w:val="16"/>
                        <w:szCs w:val="16"/>
                      </w:rPr>
                    </w:pPr>
                    <w:r w:rsidRPr="00837AA2">
                      <w:rPr>
                        <w:sz w:val="16"/>
                        <w:szCs w:val="16"/>
                      </w:rPr>
                      <w:t xml:space="preserve">nathalia.paez03@gmail.com.  http://orcid.org/0000-0003-0010-7564 </w:t>
                    </w:r>
                    <w:r>
                      <w:rPr>
                        <w:sz w:val="16"/>
                        <w:szCs w:val="16"/>
                      </w:rPr>
                      <w:t xml:space="preserve">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D4A07" w14:textId="77777777" w:rsidR="00B87F78" w:rsidRDefault="00B87F78" w:rsidP="00863BC7">
      <w:r>
        <w:separator/>
      </w:r>
    </w:p>
  </w:footnote>
  <w:footnote w:type="continuationSeparator" w:id="0">
    <w:p w14:paraId="03E6D85A" w14:textId="77777777" w:rsidR="00B87F78" w:rsidRDefault="00B87F78" w:rsidP="00863B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869406848"/>
      <w:docPartObj>
        <w:docPartGallery w:val="Page Numbers (Top of Page)"/>
        <w:docPartUnique/>
      </w:docPartObj>
    </w:sdtPr>
    <w:sdtContent>
      <w:p w14:paraId="18BBF7DF" w14:textId="31264049" w:rsidR="001808A0" w:rsidRDefault="00427D1F">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FA2835">
          <w:rPr>
            <w:rStyle w:val="Nmerodepgina"/>
            <w:noProof/>
          </w:rPr>
          <w:t>13</w:t>
        </w:r>
        <w:r>
          <w:rPr>
            <w:rStyle w:val="Nmerodepgina"/>
          </w:rPr>
          <w:fldChar w:fldCharType="end"/>
        </w:r>
      </w:p>
    </w:sdtContent>
  </w:sdt>
  <w:p w14:paraId="7E20F49C" w14:textId="77777777" w:rsidR="004649A5" w:rsidRDefault="004649A5" w:rsidP="004649A5">
    <w:pPr>
      <w:pStyle w:val="Encabezado"/>
      <w:ind w:right="360"/>
    </w:pPr>
  </w:p>
  <w:p w14:paraId="5154F344" w14:textId="77777777" w:rsidR="00BF3E83" w:rsidRDefault="00BF3E83"/>
  <w:p w14:paraId="43055570" w14:textId="77777777" w:rsidR="00F91CC7" w:rsidRDefault="00F91CC7"/>
  <w:p w14:paraId="3EAB8C72" w14:textId="77777777" w:rsidR="00F91CC7" w:rsidRDefault="00F91CC7"/>
  <w:p w14:paraId="5637B453" w14:textId="77777777" w:rsidR="00F91CC7" w:rsidRDefault="00F91CC7"/>
  <w:p w14:paraId="320DB5DC" w14:textId="77777777" w:rsidR="00F91CC7" w:rsidRDefault="00F91CC7"/>
  <w:p w14:paraId="53068D5D" w14:textId="77777777" w:rsidR="00F0795D" w:rsidRDefault="00F0795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242089504"/>
      <w:docPartObj>
        <w:docPartGallery w:val="Page Numbers (Top of Page)"/>
        <w:docPartUnique/>
      </w:docPartObj>
    </w:sdtPr>
    <w:sdtEndPr>
      <w:rPr>
        <w:rStyle w:val="Nmerodepgina"/>
        <w:color w:val="FFFFFF"/>
        <w:sz w:val="32"/>
        <w:szCs w:val="32"/>
      </w:rPr>
    </w:sdtEndPr>
    <w:sdtContent>
      <w:p w14:paraId="2B06F6DA" w14:textId="77777777" w:rsidR="004649A5" w:rsidRPr="008C3DD7" w:rsidRDefault="00000000" w:rsidP="004649A5">
        <w:pPr>
          <w:pStyle w:val="Encabezado"/>
          <w:framePr w:wrap="none" w:vAnchor="text" w:hAnchor="page" w:x="11104" w:y="7384"/>
          <w:rPr>
            <w:rStyle w:val="Nmerodepgina"/>
            <w:color w:val="FFFFFF"/>
            <w:sz w:val="32"/>
            <w:szCs w:val="32"/>
          </w:rPr>
        </w:pPr>
      </w:p>
    </w:sdtContent>
  </w:sdt>
  <w:p w14:paraId="4538E2CF" w14:textId="77777777" w:rsidR="0011536A" w:rsidRDefault="00427D1F" w:rsidP="0011536A">
    <w:pPr>
      <w:ind w:right="49"/>
      <w:jc w:val="right"/>
      <w:rPr>
        <w:sz w:val="18"/>
        <w:szCs w:val="18"/>
        <w:lang w:eastAsia="es-ES"/>
      </w:rPr>
    </w:pPr>
    <w:r w:rsidRPr="004F7A44">
      <w:rPr>
        <w:noProof/>
        <w:sz w:val="18"/>
        <w:szCs w:val="18"/>
        <w:lang w:val="es-MX"/>
      </w:rPr>
      <mc:AlternateContent>
        <mc:Choice Requires="wps">
          <w:drawing>
            <wp:anchor distT="0" distB="0" distL="114300" distR="114300" simplePos="0" relativeHeight="251671552" behindDoc="0" locked="0" layoutInCell="1" allowOverlap="1" wp14:anchorId="73084837" wp14:editId="1FC74E6F">
              <wp:simplePos x="0" y="0"/>
              <wp:positionH relativeFrom="column">
                <wp:posOffset>82061</wp:posOffset>
              </wp:positionH>
              <wp:positionV relativeFrom="paragraph">
                <wp:posOffset>363757</wp:posOffset>
              </wp:positionV>
              <wp:extent cx="4082603" cy="0"/>
              <wp:effectExtent l="0" t="12700" r="19685" b="12700"/>
              <wp:wrapNone/>
              <wp:docPr id="10" name="Conector recto 10"/>
              <wp:cNvGraphicFramePr/>
              <a:graphic xmlns:a="http://schemas.openxmlformats.org/drawingml/2006/main">
                <a:graphicData uri="http://schemas.microsoft.com/office/word/2010/wordprocessingShape">
                  <wps:wsp>
                    <wps:cNvCnPr/>
                    <wps:spPr>
                      <a:xfrm>
                        <a:off x="0" y="0"/>
                        <a:ext cx="4082603" cy="0"/>
                      </a:xfrm>
                      <a:prstGeom prst="line">
                        <a:avLst/>
                      </a:prstGeom>
                      <a:ln w="28575">
                        <a:solidFill>
                          <a:schemeClr val="accent6">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w:pict>
            <v:line id="Conector recto 10"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375623 [1609]" strokeweigh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" from="6.45pt,28.65pt" to="327.9pt,28.65pt" w14:anchorId="7C241155">
              <v:stroke joinstyle="miter"/>
            </v:line>
          </w:pict>
        </mc:Fallback>
      </mc:AlternateContent>
    </w:r>
    <w:r w:rsidR="0034598E" w:rsidRPr="0011536A">
      <w:rPr>
        <w:sz w:val="18"/>
        <w:szCs w:val="18"/>
        <w:lang w:eastAsia="es-ES"/>
      </w:rPr>
      <w:t xml:space="preserve"> </w:t>
    </w:r>
    <w:r w:rsidR="0011536A" w:rsidRPr="0011536A">
      <w:rPr>
        <w:sz w:val="18"/>
        <w:szCs w:val="18"/>
        <w:lang w:eastAsia="es-ES"/>
      </w:rPr>
      <w:t>Revista Iberoamericana de la Educación,</w:t>
    </w:r>
    <w:r w:rsidR="0011536A" w:rsidRPr="004F7A44">
      <w:rPr>
        <w:sz w:val="18"/>
        <w:szCs w:val="18"/>
        <w:lang w:eastAsia="es-ES"/>
      </w:rPr>
      <w:t xml:space="preserve"> Vol </w:t>
    </w:r>
    <w:r w:rsidR="00012468">
      <w:rPr>
        <w:sz w:val="18"/>
        <w:szCs w:val="18"/>
        <w:lang w:eastAsia="es-ES"/>
      </w:rPr>
      <w:t>–</w:t>
    </w:r>
    <w:r w:rsidR="0011536A">
      <w:rPr>
        <w:sz w:val="18"/>
        <w:szCs w:val="18"/>
        <w:lang w:eastAsia="es-ES"/>
      </w:rPr>
      <w:t xml:space="preserve"> </w:t>
    </w:r>
    <w:r w:rsidR="00012468">
      <w:rPr>
        <w:sz w:val="18"/>
        <w:szCs w:val="18"/>
        <w:lang w:eastAsia="es-ES"/>
      </w:rPr>
      <w:t xml:space="preserve">9 </w:t>
    </w:r>
    <w:r w:rsidR="0011536A" w:rsidRPr="004F7A44">
      <w:rPr>
        <w:sz w:val="18"/>
        <w:szCs w:val="18"/>
        <w:lang w:eastAsia="es-ES"/>
      </w:rPr>
      <w:t xml:space="preserve">No. </w:t>
    </w:r>
    <w:r w:rsidR="00012468">
      <w:rPr>
        <w:sz w:val="18"/>
        <w:szCs w:val="18"/>
        <w:lang w:eastAsia="es-ES"/>
      </w:rPr>
      <w:t>1</w:t>
    </w:r>
    <w:r w:rsidR="0011536A" w:rsidRPr="004F7A44">
      <w:rPr>
        <w:sz w:val="18"/>
        <w:szCs w:val="18"/>
        <w:lang w:eastAsia="es-ES"/>
      </w:rPr>
      <w:t xml:space="preserve">, </w:t>
    </w:r>
    <w:r w:rsidR="00012468">
      <w:rPr>
        <w:sz w:val="18"/>
        <w:szCs w:val="18"/>
        <w:lang w:eastAsia="es-ES"/>
      </w:rPr>
      <w:t>January - March</w:t>
    </w:r>
    <w:r w:rsidR="0011536A">
      <w:rPr>
        <w:sz w:val="18"/>
        <w:szCs w:val="18"/>
        <w:lang w:eastAsia="es-ES"/>
      </w:rPr>
      <w:t xml:space="preserve"> </w:t>
    </w:r>
    <w:r w:rsidR="0011536A" w:rsidRPr="004F7A44">
      <w:rPr>
        <w:sz w:val="18"/>
        <w:szCs w:val="18"/>
        <w:lang w:eastAsia="es-ES"/>
      </w:rPr>
      <w:t>202</w:t>
    </w:r>
    <w:r w:rsidR="0011536A">
      <w:rPr>
        <w:b/>
        <w:bCs/>
        <w:noProof/>
        <w:color w:val="C00000"/>
        <w:lang w:val="es-ES"/>
      </w:rPr>
      <mc:AlternateContent>
        <mc:Choice Requires="wps">
          <w:drawing>
            <wp:anchor distT="0" distB="0" distL="114300" distR="114300" simplePos="0" relativeHeight="251677696" behindDoc="1" locked="0" layoutInCell="1" allowOverlap="1" wp14:anchorId="3C18B3E5" wp14:editId="1ABA1B2E">
              <wp:simplePos x="0" y="0"/>
              <wp:positionH relativeFrom="column">
                <wp:posOffset>5620215</wp:posOffset>
              </wp:positionH>
              <wp:positionV relativeFrom="paragraph">
                <wp:posOffset>3378680</wp:posOffset>
              </wp:positionV>
              <wp:extent cx="433137" cy="806116"/>
              <wp:effectExtent l="0" t="0" r="0" b="0"/>
              <wp:wrapNone/>
              <wp:docPr id="274833553" name="Rectángulo 274833553"/>
              <wp:cNvGraphicFramePr/>
              <a:graphic xmlns:a="http://schemas.openxmlformats.org/drawingml/2006/main">
                <a:graphicData uri="http://schemas.microsoft.com/office/word/2010/wordprocessingShape">
                  <wps:wsp>
                    <wps:cNvSpPr/>
                    <wps:spPr>
                      <a:xfrm>
                        <a:off x="0" y="0"/>
                        <a:ext cx="433137" cy="806116"/>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Nmerodepgina"/>
                              <w:rFonts w:ascii="Times New Roman" w:hAnsi="Times New Roman" w:cs="Times New Roman"/>
                              <w:color w:val="FFFFFF"/>
                              <w:sz w:val="24"/>
                              <w:szCs w:val="24"/>
                            </w:rPr>
                            <w:id w:val="1934861203"/>
                            <w:docPartObj>
                              <w:docPartGallery w:val="Page Numbers (Bottom of Page)"/>
                              <w:docPartUnique/>
                            </w:docPartObj>
                          </w:sdtPr>
                          <w:sdtContent>
                            <w:p w14:paraId="367A873D" w14:textId="77777777" w:rsidR="0011536A" w:rsidRPr="008C3DD7" w:rsidRDefault="0011536A" w:rsidP="0011536A">
                              <w:pPr>
                                <w:pStyle w:val="Piedepgina"/>
                                <w:rPr>
                                  <w:rStyle w:val="Nmerodepgina"/>
                                  <w:rFonts w:ascii="Times New Roman" w:hAnsi="Times New Roman" w:cs="Times New Roman"/>
                                  <w:color w:val="FFFFFF"/>
                                  <w:sz w:val="24"/>
                                  <w:szCs w:val="24"/>
                                </w:rPr>
                              </w:pPr>
                              <w:r w:rsidRPr="008C3DD7">
                                <w:rPr>
                                  <w:rStyle w:val="Nmerodepgina"/>
                                  <w:rFonts w:ascii="Times New Roman" w:hAnsi="Times New Roman" w:cs="Times New Roman"/>
                                  <w:color w:val="FFFFFF"/>
                                  <w:sz w:val="24"/>
                                  <w:szCs w:val="24"/>
                                </w:rPr>
                                <w:fldChar w:fldCharType="begin"/>
                              </w:r>
                              <w:r w:rsidRPr="008C3DD7">
                                <w:rPr>
                                  <w:rStyle w:val="Nmerodepgina"/>
                                  <w:rFonts w:ascii="Times New Roman" w:hAnsi="Times New Roman" w:cs="Times New Roman"/>
                                  <w:color w:val="FFFFFF"/>
                                  <w:sz w:val="24"/>
                                  <w:szCs w:val="24"/>
                                </w:rPr>
                                <w:instrText xml:space="preserve"> PAGE </w:instrText>
                              </w:r>
                              <w:r w:rsidRPr="008C3DD7">
                                <w:rPr>
                                  <w:rStyle w:val="Nmerodepgina"/>
                                  <w:rFonts w:ascii="Times New Roman" w:hAnsi="Times New Roman" w:cs="Times New Roman"/>
                                  <w:color w:val="FFFFFF"/>
                                  <w:sz w:val="24"/>
                                  <w:szCs w:val="24"/>
                                </w:rPr>
                                <w:fldChar w:fldCharType="separate"/>
                              </w:r>
                              <w:r w:rsidRPr="008C3DD7">
                                <w:rPr>
                                  <w:rStyle w:val="Nmerodepgina"/>
                                  <w:rFonts w:ascii="Times New Roman" w:hAnsi="Times New Roman" w:cs="Times New Roman"/>
                                  <w:color w:val="FFFFFF"/>
                                  <w:sz w:val="24"/>
                                  <w:szCs w:val="24"/>
                                </w:rPr>
                                <w:t>1</w:t>
                              </w:r>
                              <w:r w:rsidRPr="008C3DD7">
                                <w:rPr>
                                  <w:rStyle w:val="Nmerodepgina"/>
                                  <w:rFonts w:ascii="Times New Roman" w:hAnsi="Times New Roman" w:cs="Times New Roman"/>
                                  <w:color w:val="FFFFFF"/>
                                  <w:sz w:val="24"/>
                                  <w:szCs w:val="24"/>
                                </w:rPr>
                                <w:fldChar w:fldCharType="end"/>
                              </w:r>
                            </w:p>
                          </w:sdtContent>
                        </w:sdt>
                        <w:p w14:paraId="15A30A0D" w14:textId="77777777" w:rsidR="0011536A" w:rsidRDefault="0011536A" w:rsidP="0011536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18B3E5" id="Rectángulo 274833553" o:spid="_x0000_s1026" style="position:absolute;left:0;text-align:left;margin-left:442.55pt;margin-top:266.05pt;width:34.1pt;height:63.45pt;z-index:-251638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" fillcolor="#c00000" stroked="f" strokeweight="1pt">
              <v:textbox>
                <w:txbxContent>
                  <w:sdt>
                    <w:sdtPr>
                      <w:rPr>
                        <w:rStyle w:val="Nmerodepgina"/>
                        <w:rFonts w:ascii="Times New Roman" w:hAnsi="Times New Roman" w:cs="Times New Roman"/>
                        <w:color w:val="FFFFFF"/>
                        <w:sz w:val="24"/>
                        <w:szCs w:val="24"/>
                      </w:rPr>
                      <w:id w:val="1934861203"/>
                      <w:docPartObj>
                        <w:docPartGallery w:val="Page Numbers (Bottom of Page)"/>
                        <w:docPartUnique/>
                      </w:docPartObj>
                    </w:sdtPr>
                    <w:sdtContent>
                      <w:p w14:paraId="367A873D" w14:textId="77777777" w:rsidR="0011536A" w:rsidRPr="008C3DD7" w:rsidRDefault="0011536A" w:rsidP="0011536A">
                        <w:pPr>
                          <w:pStyle w:val="Piedepgina"/>
                          <w:rPr>
                            <w:rStyle w:val="Nmerodepgina"/>
                            <w:rFonts w:ascii="Times New Roman" w:hAnsi="Times New Roman" w:cs="Times New Roman"/>
                            <w:color w:val="FFFFFF"/>
                            <w:sz w:val="24"/>
                            <w:szCs w:val="24"/>
                          </w:rPr>
                        </w:pPr>
                        <w:r w:rsidRPr="008C3DD7">
                          <w:rPr>
                            <w:rStyle w:val="Nmerodepgina"/>
                            <w:rFonts w:ascii="Times New Roman" w:hAnsi="Times New Roman" w:cs="Times New Roman"/>
                            <w:color w:val="FFFFFF"/>
                            <w:sz w:val="24"/>
                            <w:szCs w:val="24"/>
                          </w:rPr>
                          <w:fldChar w:fldCharType="begin"/>
                        </w:r>
                        <w:r w:rsidRPr="008C3DD7">
                          <w:rPr>
                            <w:rStyle w:val="Nmerodepgina"/>
                            <w:rFonts w:ascii="Times New Roman" w:hAnsi="Times New Roman" w:cs="Times New Roman"/>
                            <w:color w:val="FFFFFF"/>
                            <w:sz w:val="24"/>
                            <w:szCs w:val="24"/>
                          </w:rPr>
                          <w:instrText xml:space="preserve"> PAGE </w:instrText>
                        </w:r>
                        <w:r w:rsidRPr="008C3DD7">
                          <w:rPr>
                            <w:rStyle w:val="Nmerodepgina"/>
                            <w:rFonts w:ascii="Times New Roman" w:hAnsi="Times New Roman" w:cs="Times New Roman"/>
                            <w:color w:val="FFFFFF"/>
                            <w:sz w:val="24"/>
                            <w:szCs w:val="24"/>
                          </w:rPr>
                          <w:fldChar w:fldCharType="separate"/>
                        </w:r>
                        <w:r w:rsidRPr="008C3DD7">
                          <w:rPr>
                            <w:rStyle w:val="Nmerodepgina"/>
                            <w:rFonts w:ascii="Times New Roman" w:hAnsi="Times New Roman" w:cs="Times New Roman"/>
                            <w:color w:val="FFFFFF"/>
                            <w:sz w:val="24"/>
                            <w:szCs w:val="24"/>
                          </w:rPr>
                          <w:t>1</w:t>
                        </w:r>
                        <w:r w:rsidRPr="008C3DD7">
                          <w:rPr>
                            <w:rStyle w:val="Nmerodepgina"/>
                            <w:rFonts w:ascii="Times New Roman" w:hAnsi="Times New Roman" w:cs="Times New Roman"/>
                            <w:color w:val="FFFFFF"/>
                            <w:sz w:val="24"/>
                            <w:szCs w:val="24"/>
                          </w:rPr>
                          <w:fldChar w:fldCharType="end"/>
                        </w:r>
                      </w:p>
                    </w:sdtContent>
                  </w:sdt>
                  <w:p w14:paraId="15A30A0D" w14:textId="77777777" w:rsidR="0011536A" w:rsidRDefault="0011536A" w:rsidP="0011536A">
                    <w:pPr>
                      <w:jc w:val="center"/>
                    </w:pPr>
                  </w:p>
                </w:txbxContent>
              </v:textbox>
            </v:rect>
          </w:pict>
        </mc:Fallback>
      </mc:AlternateContent>
    </w:r>
    <w:r w:rsidR="004B00CB">
      <w:rPr>
        <w:sz w:val="18"/>
        <w:szCs w:val="18"/>
        <w:lang w:eastAsia="es-ES"/>
      </w:rPr>
      <w:t>6</w:t>
    </w:r>
  </w:p>
  <w:p w14:paraId="32620255" w14:textId="77777777" w:rsidR="0011536A" w:rsidRDefault="0011536A" w:rsidP="0011536A">
    <w:pPr>
      <w:ind w:right="49"/>
      <w:jc w:val="right"/>
      <w:rPr>
        <w:sz w:val="18"/>
        <w:szCs w:val="18"/>
        <w:lang w:eastAsia="es-ES"/>
      </w:rPr>
    </w:pPr>
  </w:p>
  <w:p w14:paraId="75003644" w14:textId="77777777" w:rsidR="001808A0" w:rsidRPr="0011536A" w:rsidRDefault="00427D1F">
    <w:pPr>
      <w:ind w:right="49"/>
      <w:jc w:val="right"/>
      <w:rPr>
        <w:sz w:val="18"/>
        <w:szCs w:val="18"/>
        <w:lang w:eastAsia="es-ES"/>
      </w:rPr>
    </w:pPr>
    <w:r>
      <w:rPr>
        <w:b/>
        <w:bCs/>
        <w:noProof/>
        <w:color w:val="C00000"/>
        <w:lang w:val="es-ES"/>
      </w:rPr>
      <mc:AlternateContent>
        <mc:Choice Requires="wps">
          <w:drawing>
            <wp:anchor distT="0" distB="0" distL="114300" distR="114300" simplePos="0" relativeHeight="251663360" behindDoc="1" locked="0" layoutInCell="1" allowOverlap="1" wp14:anchorId="70B17605" wp14:editId="63099480">
              <wp:simplePos x="0" y="0"/>
              <wp:positionH relativeFrom="column">
                <wp:posOffset>5620215</wp:posOffset>
              </wp:positionH>
              <wp:positionV relativeFrom="paragraph">
                <wp:posOffset>3378680</wp:posOffset>
              </wp:positionV>
              <wp:extent cx="433137" cy="806116"/>
              <wp:effectExtent l="0" t="0" r="0" b="0"/>
              <wp:wrapNone/>
              <wp:docPr id="6" name="Rectángulo 6"/>
              <wp:cNvGraphicFramePr/>
              <a:graphic xmlns:a="http://schemas.openxmlformats.org/drawingml/2006/main">
                <a:graphicData uri="http://schemas.microsoft.com/office/word/2010/wordprocessingShape">
                  <wps:wsp>
                    <wps:cNvSpPr/>
                    <wps:spPr>
                      <a:xfrm>
                        <a:off x="0" y="0"/>
                        <a:ext cx="433137" cy="806116"/>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Nmerodepgina"/>
                              <w:rFonts w:ascii="Times New Roman" w:hAnsi="Times New Roman" w:cs="Times New Roman"/>
                              <w:color w:val="FFFFFF"/>
                              <w:sz w:val="24"/>
                              <w:szCs w:val="24"/>
                            </w:rPr>
                            <w:id w:val="-1523551443"/>
                            <w:docPartObj>
                              <w:docPartGallery w:val="Page Numbers (Bottom of Page)"/>
                              <w:docPartUnique/>
                            </w:docPartObj>
                          </w:sdtPr>
                          <w:sdtContent>
                            <w:p w14:paraId="6F556857" w14:textId="77777777" w:rsidR="001808A0" w:rsidRPr="008C3DD7" w:rsidRDefault="00427D1F">
                              <w:pPr>
                                <w:pStyle w:val="Piedepgina"/>
                                <w:rPr>
                                  <w:rStyle w:val="Nmerodepgina"/>
                                  <w:rFonts w:ascii="Times New Roman" w:hAnsi="Times New Roman" w:cs="Times New Roman"/>
                                  <w:color w:val="FFFFFF"/>
                                  <w:sz w:val="24"/>
                                  <w:szCs w:val="24"/>
                                </w:rPr>
                              </w:pPr>
                              <w:r w:rsidRPr="008C3DD7">
                                <w:rPr>
                                  <w:rStyle w:val="Nmerodepgina"/>
                                  <w:rFonts w:ascii="Times New Roman" w:hAnsi="Times New Roman" w:cs="Times New Roman"/>
                                  <w:color w:val="FFFFFF"/>
                                  <w:sz w:val="24"/>
                                  <w:szCs w:val="24"/>
                                </w:rPr>
                                <w:fldChar w:fldCharType="begin"/>
                              </w:r>
                              <w:r w:rsidRPr="008C3DD7">
                                <w:rPr>
                                  <w:rStyle w:val="Nmerodepgina"/>
                                  <w:rFonts w:ascii="Times New Roman" w:hAnsi="Times New Roman" w:cs="Times New Roman"/>
                                  <w:color w:val="FFFFFF"/>
                                  <w:sz w:val="24"/>
                                  <w:szCs w:val="24"/>
                                </w:rPr>
                                <w:instrText xml:space="preserve"> PAGE </w:instrText>
                              </w:r>
                              <w:r w:rsidRPr="008C3DD7">
                                <w:rPr>
                                  <w:rStyle w:val="Nmerodepgina"/>
                                  <w:rFonts w:ascii="Times New Roman" w:hAnsi="Times New Roman" w:cs="Times New Roman"/>
                                  <w:color w:val="FFFFFF"/>
                                  <w:sz w:val="24"/>
                                  <w:szCs w:val="24"/>
                                </w:rPr>
                                <w:fldChar w:fldCharType="separate"/>
                              </w:r>
                              <w:r w:rsidRPr="008C3DD7">
                                <w:rPr>
                                  <w:rStyle w:val="Nmerodepgina"/>
                                  <w:rFonts w:ascii="Times New Roman" w:hAnsi="Times New Roman" w:cs="Times New Roman"/>
                                  <w:color w:val="FFFFFF"/>
                                  <w:sz w:val="24"/>
                                  <w:szCs w:val="24"/>
                                </w:rPr>
                                <w:t>1</w:t>
                              </w:r>
                              <w:r w:rsidRPr="008C3DD7">
                                <w:rPr>
                                  <w:rStyle w:val="Nmerodepgina"/>
                                  <w:rFonts w:ascii="Times New Roman" w:hAnsi="Times New Roman" w:cs="Times New Roman"/>
                                  <w:color w:val="FFFFFF"/>
                                  <w:sz w:val="24"/>
                                  <w:szCs w:val="24"/>
                                </w:rPr>
                                <w:fldChar w:fldCharType="end"/>
                              </w:r>
                            </w:p>
                          </w:sdtContent>
                        </w:sdt>
                        <w:p w14:paraId="3A90CB71" w14:textId="77777777" w:rsidR="00AB53F1" w:rsidRDefault="00AB53F1" w:rsidP="00AB53F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B17605" id="Rectángulo 6" o:spid="_x0000_s1027" style="position:absolute;left:0;text-align:left;margin-left:442.55pt;margin-top:266.05pt;width:34.1pt;height:63.45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" fillcolor="#c00000" stroked="f" strokeweight="1pt">
              <v:textbox>
                <w:txbxContent>
                  <w:sdt>
                    <w:sdtPr>
                      <w:rPr>
                        <w:rStyle w:val="Nmerodepgina"/>
                        <w:rFonts w:ascii="Times New Roman" w:hAnsi="Times New Roman" w:cs="Times New Roman"/>
                        <w:color w:val="FFFFFF"/>
                        <w:sz w:val="24"/>
                        <w:szCs w:val="24"/>
                      </w:rPr>
                      <w:id w:val="-1523551443"/>
                      <w:docPartObj>
                        <w:docPartGallery w:val="Page Numbers (Bottom of Page)"/>
                        <w:docPartUnique/>
                      </w:docPartObj>
                    </w:sdtPr>
                    <w:sdtContent>
                      <w:p w14:paraId="6F556857" w14:textId="77777777" w:rsidR="001808A0" w:rsidRPr="008C3DD7" w:rsidRDefault="00427D1F">
                        <w:pPr>
                          <w:pStyle w:val="Piedepgina"/>
                          <w:rPr>
                            <w:rStyle w:val="Nmerodepgina"/>
                            <w:rFonts w:ascii="Times New Roman" w:hAnsi="Times New Roman" w:cs="Times New Roman"/>
                            <w:color w:val="FFFFFF"/>
                            <w:sz w:val="24"/>
                            <w:szCs w:val="24"/>
                          </w:rPr>
                        </w:pPr>
                        <w:r w:rsidRPr="008C3DD7">
                          <w:rPr>
                            <w:rStyle w:val="Nmerodepgina"/>
                            <w:rFonts w:ascii="Times New Roman" w:hAnsi="Times New Roman" w:cs="Times New Roman"/>
                            <w:color w:val="FFFFFF"/>
                            <w:sz w:val="24"/>
                            <w:szCs w:val="24"/>
                          </w:rPr>
                          <w:fldChar w:fldCharType="begin"/>
                        </w:r>
                        <w:r w:rsidRPr="008C3DD7">
                          <w:rPr>
                            <w:rStyle w:val="Nmerodepgina"/>
                            <w:rFonts w:ascii="Times New Roman" w:hAnsi="Times New Roman" w:cs="Times New Roman"/>
                            <w:color w:val="FFFFFF"/>
                            <w:sz w:val="24"/>
                            <w:szCs w:val="24"/>
                          </w:rPr>
                          <w:instrText xml:space="preserve"> PAGE </w:instrText>
                        </w:r>
                        <w:r w:rsidRPr="008C3DD7">
                          <w:rPr>
                            <w:rStyle w:val="Nmerodepgina"/>
                            <w:rFonts w:ascii="Times New Roman" w:hAnsi="Times New Roman" w:cs="Times New Roman"/>
                            <w:color w:val="FFFFFF"/>
                            <w:sz w:val="24"/>
                            <w:szCs w:val="24"/>
                          </w:rPr>
                          <w:fldChar w:fldCharType="separate"/>
                        </w:r>
                        <w:r w:rsidRPr="008C3DD7">
                          <w:rPr>
                            <w:rStyle w:val="Nmerodepgina"/>
                            <w:rFonts w:ascii="Times New Roman" w:hAnsi="Times New Roman" w:cs="Times New Roman"/>
                            <w:color w:val="FFFFFF"/>
                            <w:sz w:val="24"/>
                            <w:szCs w:val="24"/>
                          </w:rPr>
                          <w:t>1</w:t>
                        </w:r>
                        <w:r w:rsidRPr="008C3DD7">
                          <w:rPr>
                            <w:rStyle w:val="Nmerodepgina"/>
                            <w:rFonts w:ascii="Times New Roman" w:hAnsi="Times New Roman" w:cs="Times New Roman"/>
                            <w:color w:val="FFFFFF"/>
                            <w:sz w:val="24"/>
                            <w:szCs w:val="24"/>
                          </w:rPr>
                          <w:fldChar w:fldCharType="end"/>
                        </w:r>
                      </w:p>
                    </w:sdtContent>
                  </w:sdt>
                  <w:p w14:paraId="3A90CB71" w14:textId="77777777" w:rsidR="00AB53F1" w:rsidRDefault="00AB53F1" w:rsidP="00AB53F1">
                    <w:pPr>
                      <w:jc w:val="center"/>
                    </w:pPr>
                  </w:p>
                </w:txbxContent>
              </v:textbox>
            </v:rect>
          </w:pict>
        </mc:Fallback>
      </mc:AlternateContent>
    </w:r>
  </w:p>
  <w:p w14:paraId="242EC22B" w14:textId="77777777" w:rsidR="00F0795D" w:rsidRPr="0011536A" w:rsidRDefault="00F0795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E79D9" w14:textId="77777777" w:rsidR="00AE7E60" w:rsidRPr="00012468" w:rsidRDefault="0011536A" w:rsidP="00AE7E60">
    <w:pPr>
      <w:ind w:right="49"/>
      <w:jc w:val="right"/>
      <w:rPr>
        <w:sz w:val="18"/>
        <w:szCs w:val="18"/>
        <w:lang w:val="es-ES" w:eastAsia="es-ES"/>
      </w:rPr>
    </w:pPr>
    <w:r w:rsidRPr="0065220C">
      <w:rPr>
        <w:b/>
        <w:bCs/>
        <w:sz w:val="18"/>
        <w:szCs w:val="18"/>
        <w:lang w:eastAsia="es-ES"/>
      </w:rPr>
      <w:t>Revista Iberoamericana de la Educación</w:t>
    </w:r>
    <w:r w:rsidRPr="004F7A44">
      <w:rPr>
        <w:sz w:val="18"/>
        <w:szCs w:val="18"/>
        <w:lang w:eastAsia="es-ES"/>
      </w:rPr>
      <w:t xml:space="preserve">, Vol </w:t>
    </w:r>
    <w:r>
      <w:rPr>
        <w:sz w:val="18"/>
        <w:szCs w:val="18"/>
        <w:lang w:eastAsia="es-ES"/>
      </w:rPr>
      <w:t xml:space="preserve">- </w:t>
    </w:r>
    <w:r w:rsidR="004B00CB">
      <w:rPr>
        <w:sz w:val="18"/>
        <w:szCs w:val="18"/>
        <w:lang w:eastAsia="es-ES"/>
      </w:rPr>
      <w:t>10</w:t>
    </w:r>
    <w:r>
      <w:rPr>
        <w:sz w:val="18"/>
        <w:szCs w:val="18"/>
        <w:lang w:eastAsia="es-ES"/>
      </w:rPr>
      <w:t xml:space="preserve"> </w:t>
    </w:r>
    <w:r w:rsidRPr="004F7A44">
      <w:rPr>
        <w:sz w:val="18"/>
        <w:szCs w:val="18"/>
        <w:lang w:eastAsia="es-ES"/>
      </w:rPr>
      <w:t xml:space="preserve">No. </w:t>
    </w:r>
    <w:r w:rsidR="00012468">
      <w:rPr>
        <w:sz w:val="18"/>
        <w:szCs w:val="18"/>
        <w:lang w:eastAsia="es-ES"/>
      </w:rPr>
      <w:t>1</w:t>
    </w:r>
    <w:r w:rsidRPr="004F7A44">
      <w:rPr>
        <w:sz w:val="18"/>
        <w:szCs w:val="18"/>
        <w:lang w:eastAsia="es-ES"/>
      </w:rPr>
      <w:t xml:space="preserve">, </w:t>
    </w:r>
    <w:r w:rsidR="00012468">
      <w:rPr>
        <w:sz w:val="18"/>
        <w:szCs w:val="18"/>
        <w:lang w:eastAsia="es-ES"/>
      </w:rPr>
      <w:t>January - March</w:t>
    </w:r>
    <w:r>
      <w:rPr>
        <w:sz w:val="18"/>
        <w:szCs w:val="18"/>
        <w:lang w:eastAsia="es-ES"/>
      </w:rPr>
      <w:t xml:space="preserve"> </w:t>
    </w:r>
    <w:r w:rsidRPr="004F7A44">
      <w:rPr>
        <w:sz w:val="18"/>
        <w:szCs w:val="18"/>
        <w:lang w:eastAsia="es-ES"/>
      </w:rPr>
      <w:t>202</w:t>
    </w:r>
    <w:r>
      <w:rPr>
        <w:b/>
        <w:bCs/>
        <w:noProof/>
        <w:color w:val="C00000"/>
        <w:lang w:val="es-ES"/>
      </w:rPr>
      <mc:AlternateContent>
        <mc:Choice Requires="wps">
          <w:drawing>
            <wp:anchor distT="0" distB="0" distL="114300" distR="114300" simplePos="0" relativeHeight="251675648" behindDoc="1" locked="0" layoutInCell="1" allowOverlap="1" wp14:anchorId="0192E7EB" wp14:editId="7BD7C7AF">
              <wp:simplePos x="0" y="0"/>
              <wp:positionH relativeFrom="column">
                <wp:posOffset>5620215</wp:posOffset>
              </wp:positionH>
              <wp:positionV relativeFrom="paragraph">
                <wp:posOffset>3378680</wp:posOffset>
              </wp:positionV>
              <wp:extent cx="433137" cy="806116"/>
              <wp:effectExtent l="0" t="0" r="0" b="0"/>
              <wp:wrapNone/>
              <wp:docPr id="8" name="Rectángulo 8"/>
              <wp:cNvGraphicFramePr/>
              <a:graphic xmlns:a="http://schemas.openxmlformats.org/drawingml/2006/main">
                <a:graphicData uri="http://schemas.microsoft.com/office/word/2010/wordprocessingShape">
                  <wps:wsp>
                    <wps:cNvSpPr/>
                    <wps:spPr>
                      <a:xfrm>
                        <a:off x="0" y="0"/>
                        <a:ext cx="433137" cy="806116"/>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Nmerodepgina"/>
                              <w:rFonts w:ascii="Times New Roman" w:hAnsi="Times New Roman" w:cs="Times New Roman"/>
                              <w:color w:val="FFFFFF"/>
                              <w:sz w:val="24"/>
                              <w:szCs w:val="24"/>
                            </w:rPr>
                            <w:id w:val="-1439442332"/>
                            <w:docPartObj>
                              <w:docPartGallery w:val="Page Numbers (Bottom of Page)"/>
                              <w:docPartUnique/>
                            </w:docPartObj>
                          </w:sdtPr>
                          <w:sdtContent>
                            <w:p w14:paraId="3384B270" w14:textId="77777777" w:rsidR="0011536A" w:rsidRPr="008C3DD7" w:rsidRDefault="0011536A" w:rsidP="0011536A">
                              <w:pPr>
                                <w:pStyle w:val="Piedepgina"/>
                                <w:rPr>
                                  <w:rStyle w:val="Nmerodepgina"/>
                                  <w:rFonts w:ascii="Times New Roman" w:hAnsi="Times New Roman" w:cs="Times New Roman"/>
                                  <w:color w:val="FFFFFF"/>
                                  <w:sz w:val="24"/>
                                  <w:szCs w:val="24"/>
                                </w:rPr>
                              </w:pPr>
                              <w:r w:rsidRPr="008C3DD7">
                                <w:rPr>
                                  <w:rStyle w:val="Nmerodepgina"/>
                                  <w:rFonts w:ascii="Times New Roman" w:hAnsi="Times New Roman" w:cs="Times New Roman"/>
                                  <w:color w:val="FFFFFF"/>
                                  <w:sz w:val="24"/>
                                  <w:szCs w:val="24"/>
                                </w:rPr>
                                <w:fldChar w:fldCharType="begin"/>
                              </w:r>
                              <w:r w:rsidRPr="008C3DD7">
                                <w:rPr>
                                  <w:rStyle w:val="Nmerodepgina"/>
                                  <w:rFonts w:ascii="Times New Roman" w:hAnsi="Times New Roman" w:cs="Times New Roman"/>
                                  <w:color w:val="FFFFFF"/>
                                  <w:sz w:val="24"/>
                                  <w:szCs w:val="24"/>
                                </w:rPr>
                                <w:instrText xml:space="preserve"> PAGE </w:instrText>
                              </w:r>
                              <w:r w:rsidRPr="008C3DD7">
                                <w:rPr>
                                  <w:rStyle w:val="Nmerodepgina"/>
                                  <w:rFonts w:ascii="Times New Roman" w:hAnsi="Times New Roman" w:cs="Times New Roman"/>
                                  <w:color w:val="FFFFFF"/>
                                  <w:sz w:val="24"/>
                                  <w:szCs w:val="24"/>
                                </w:rPr>
                                <w:fldChar w:fldCharType="separate"/>
                              </w:r>
                              <w:r w:rsidRPr="008C3DD7">
                                <w:rPr>
                                  <w:rStyle w:val="Nmerodepgina"/>
                                  <w:rFonts w:ascii="Times New Roman" w:hAnsi="Times New Roman" w:cs="Times New Roman"/>
                                  <w:color w:val="FFFFFF"/>
                                  <w:sz w:val="24"/>
                                  <w:szCs w:val="24"/>
                                </w:rPr>
                                <w:t>1</w:t>
                              </w:r>
                              <w:r w:rsidRPr="008C3DD7">
                                <w:rPr>
                                  <w:rStyle w:val="Nmerodepgina"/>
                                  <w:rFonts w:ascii="Times New Roman" w:hAnsi="Times New Roman" w:cs="Times New Roman"/>
                                  <w:color w:val="FFFFFF"/>
                                  <w:sz w:val="24"/>
                                  <w:szCs w:val="24"/>
                                </w:rPr>
                                <w:fldChar w:fldCharType="end"/>
                              </w:r>
                            </w:p>
                          </w:sdtContent>
                        </w:sdt>
                        <w:p w14:paraId="04BE3F31" w14:textId="77777777" w:rsidR="0011536A" w:rsidRDefault="0011536A" w:rsidP="0011536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92E7EB" id="Rectángulo 8" o:spid="_x0000_s1028" style="position:absolute;left:0;text-align:left;margin-left:442.55pt;margin-top:266.05pt;width:34.1pt;height:63.45pt;z-index:-251640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" fillcolor="#c00000" stroked="f" strokeweight="1pt">
              <v:textbox>
                <w:txbxContent>
                  <w:sdt>
                    <w:sdtPr>
                      <w:rPr>
                        <w:rStyle w:val="Nmerodepgina"/>
                        <w:rFonts w:ascii="Times New Roman" w:hAnsi="Times New Roman" w:cs="Times New Roman"/>
                        <w:color w:val="FFFFFF"/>
                        <w:sz w:val="24"/>
                        <w:szCs w:val="24"/>
                      </w:rPr>
                      <w:id w:val="-1439442332"/>
                      <w:docPartObj>
                        <w:docPartGallery w:val="Page Numbers (Bottom of Page)"/>
                        <w:docPartUnique/>
                      </w:docPartObj>
                    </w:sdtPr>
                    <w:sdtContent>
                      <w:p w14:paraId="3384B270" w14:textId="77777777" w:rsidR="0011536A" w:rsidRPr="008C3DD7" w:rsidRDefault="0011536A" w:rsidP="0011536A">
                        <w:pPr>
                          <w:pStyle w:val="Piedepgina"/>
                          <w:rPr>
                            <w:rStyle w:val="Nmerodepgina"/>
                            <w:rFonts w:ascii="Times New Roman" w:hAnsi="Times New Roman" w:cs="Times New Roman"/>
                            <w:color w:val="FFFFFF"/>
                            <w:sz w:val="24"/>
                            <w:szCs w:val="24"/>
                          </w:rPr>
                        </w:pPr>
                        <w:r w:rsidRPr="008C3DD7">
                          <w:rPr>
                            <w:rStyle w:val="Nmerodepgina"/>
                            <w:rFonts w:ascii="Times New Roman" w:hAnsi="Times New Roman" w:cs="Times New Roman"/>
                            <w:color w:val="FFFFFF"/>
                            <w:sz w:val="24"/>
                            <w:szCs w:val="24"/>
                          </w:rPr>
                          <w:fldChar w:fldCharType="begin"/>
                        </w:r>
                        <w:r w:rsidRPr="008C3DD7">
                          <w:rPr>
                            <w:rStyle w:val="Nmerodepgina"/>
                            <w:rFonts w:ascii="Times New Roman" w:hAnsi="Times New Roman" w:cs="Times New Roman"/>
                            <w:color w:val="FFFFFF"/>
                            <w:sz w:val="24"/>
                            <w:szCs w:val="24"/>
                          </w:rPr>
                          <w:instrText xml:space="preserve"> PAGE </w:instrText>
                        </w:r>
                        <w:r w:rsidRPr="008C3DD7">
                          <w:rPr>
                            <w:rStyle w:val="Nmerodepgina"/>
                            <w:rFonts w:ascii="Times New Roman" w:hAnsi="Times New Roman" w:cs="Times New Roman"/>
                            <w:color w:val="FFFFFF"/>
                            <w:sz w:val="24"/>
                            <w:szCs w:val="24"/>
                          </w:rPr>
                          <w:fldChar w:fldCharType="separate"/>
                        </w:r>
                        <w:r w:rsidRPr="008C3DD7">
                          <w:rPr>
                            <w:rStyle w:val="Nmerodepgina"/>
                            <w:rFonts w:ascii="Times New Roman" w:hAnsi="Times New Roman" w:cs="Times New Roman"/>
                            <w:color w:val="FFFFFF"/>
                            <w:sz w:val="24"/>
                            <w:szCs w:val="24"/>
                          </w:rPr>
                          <w:t>1</w:t>
                        </w:r>
                        <w:r w:rsidRPr="008C3DD7">
                          <w:rPr>
                            <w:rStyle w:val="Nmerodepgina"/>
                            <w:rFonts w:ascii="Times New Roman" w:hAnsi="Times New Roman" w:cs="Times New Roman"/>
                            <w:color w:val="FFFFFF"/>
                            <w:sz w:val="24"/>
                            <w:szCs w:val="24"/>
                          </w:rPr>
                          <w:fldChar w:fldCharType="end"/>
                        </w:r>
                      </w:p>
                    </w:sdtContent>
                  </w:sdt>
                  <w:p w14:paraId="04BE3F31" w14:textId="77777777" w:rsidR="0011536A" w:rsidRDefault="0011536A" w:rsidP="0011536A">
                    <w:pPr>
                      <w:jc w:val="center"/>
                    </w:pPr>
                  </w:p>
                </w:txbxContent>
              </v:textbox>
            </v:rect>
          </w:pict>
        </mc:Fallback>
      </mc:AlternateContent>
    </w:r>
    <w:r w:rsidR="00AE7E60">
      <w:rPr>
        <w:sz w:val="18"/>
        <w:szCs w:val="18"/>
        <w:lang w:val="es-ES" w:eastAsia="es-ES"/>
      </w:rPr>
      <w:t>6</w:t>
    </w:r>
  </w:p>
  <w:p w14:paraId="48053C72" w14:textId="77777777" w:rsidR="0011536A" w:rsidRPr="00565589" w:rsidRDefault="0011536A" w:rsidP="0011536A">
    <w:pPr>
      <w:ind w:right="49"/>
      <w:jc w:val="right"/>
      <w:rPr>
        <w:sz w:val="18"/>
        <w:szCs w:val="18"/>
        <w:lang w:eastAsia="es-ES"/>
      </w:rPr>
    </w:pPr>
    <w:r w:rsidRPr="00565589">
      <w:rPr>
        <w:sz w:val="18"/>
        <w:szCs w:val="18"/>
        <w:lang w:eastAsia="es-ES"/>
      </w:rPr>
      <w:t xml:space="preserve">e-ISSN: 2737-632x </w:t>
    </w:r>
  </w:p>
  <w:p w14:paraId="0BECBE41" w14:textId="77777777" w:rsidR="0011536A" w:rsidRPr="00565589" w:rsidRDefault="0011536A" w:rsidP="0011536A">
    <w:pPr>
      <w:ind w:right="49"/>
      <w:jc w:val="right"/>
    </w:pPr>
    <w:proofErr w:type="spellStart"/>
    <w:r w:rsidRPr="00565589">
      <w:rPr>
        <w:sz w:val="18"/>
        <w:szCs w:val="18"/>
        <w:lang w:eastAsia="es-ES"/>
      </w:rPr>
      <w:t>Pgs</w:t>
    </w:r>
    <w:proofErr w:type="spellEnd"/>
    <w:r w:rsidRPr="00565589">
      <w:rPr>
        <w:sz w:val="18"/>
        <w:szCs w:val="18"/>
        <w:lang w:eastAsia="es-ES"/>
      </w:rPr>
      <w:t xml:space="preserve"> </w:t>
    </w:r>
    <w:r>
      <w:rPr>
        <w:sz w:val="18"/>
        <w:szCs w:val="18"/>
        <w:lang w:eastAsia="es-ES"/>
      </w:rPr>
      <w:t>1-</w:t>
    </w:r>
    <w:r w:rsidR="00DA4A0A">
      <w:rPr>
        <w:sz w:val="18"/>
        <w:szCs w:val="18"/>
        <w:lang w:eastAsia="es-ES"/>
      </w:rPr>
      <w:t>7</w:t>
    </w:r>
  </w:p>
  <w:p w14:paraId="144B791D" w14:textId="77777777" w:rsidR="0011536A" w:rsidRPr="00565589" w:rsidRDefault="0011536A" w:rsidP="0011536A">
    <w:pPr>
      <w:ind w:right="49"/>
    </w:pPr>
  </w:p>
  <w:p w14:paraId="2E721B89" w14:textId="77777777" w:rsidR="004F7A44" w:rsidRPr="00565589" w:rsidRDefault="004F7A44" w:rsidP="004F7A44">
    <w:pPr>
      <w:ind w:right="49"/>
    </w:pPr>
  </w:p>
  <w:p w14:paraId="6A9733FA" w14:textId="77777777" w:rsidR="001808A0" w:rsidRDefault="00AE7E60">
    <w:pPr>
      <w:pStyle w:val="Encabezado"/>
    </w:pPr>
    <w:r w:rsidRPr="004F7A44">
      <w:rPr>
        <w:rFonts w:ascii="Times" w:hAnsi="Times" w:cs="Times"/>
        <w:b/>
        <w:noProof/>
        <w:lang w:val="en-US"/>
      </w:rPr>
      <mc:AlternateContent>
        <mc:Choice Requires="wps">
          <w:drawing>
            <wp:anchor distT="0" distB="0" distL="114300" distR="114300" simplePos="0" relativeHeight="251666432" behindDoc="0" locked="0" layoutInCell="1" allowOverlap="1" wp14:anchorId="20146FF3" wp14:editId="16954514">
              <wp:simplePos x="0" y="0"/>
              <wp:positionH relativeFrom="column">
                <wp:posOffset>-1995805</wp:posOffset>
              </wp:positionH>
              <wp:positionV relativeFrom="paragraph">
                <wp:posOffset>3138463</wp:posOffset>
              </wp:positionV>
              <wp:extent cx="1608455" cy="1641231"/>
              <wp:effectExtent l="0" t="0" r="4445" b="0"/>
              <wp:wrapNone/>
              <wp:docPr id="5" name="Cuadro de texto 5"/>
              <wp:cNvGraphicFramePr/>
              <a:graphic xmlns:a="http://schemas.openxmlformats.org/drawingml/2006/main">
                <a:graphicData uri="http://schemas.microsoft.com/office/word/2010/wordprocessingShape">
                  <wps:wsp>
                    <wps:cNvSpPr txBox="1"/>
                    <wps:spPr>
                      <a:xfrm>
                        <a:off x="0" y="0"/>
                        <a:ext cx="1608455" cy="1641231"/>
                      </a:xfrm>
                      <a:prstGeom prst="rect">
                        <a:avLst/>
                      </a:prstGeom>
                      <a:solidFill>
                        <a:schemeClr val="bg1">
                          <a:lumMod val="75000"/>
                        </a:schemeClr>
                      </a:solidFill>
                      <a:ln w="6350">
                        <a:noFill/>
                      </a:ln>
                    </wps:spPr>
                    <wps:txbx>
                      <w:txbxContent>
                        <w:p w14:paraId="1C81AD56" w14:textId="2307B7F4" w:rsidR="001808A0" w:rsidRDefault="00427D1F">
                          <w:pPr>
                            <w:ind w:right="33"/>
                            <w:rPr>
                              <w:sz w:val="18"/>
                              <w:szCs w:val="18"/>
                              <w:lang w:val="en-US" w:eastAsia="es-ES"/>
                            </w:rPr>
                          </w:pPr>
                          <w:r w:rsidRPr="008E1B50">
                            <w:rPr>
                              <w:sz w:val="18"/>
                              <w:szCs w:val="18"/>
                              <w:lang w:val="en-US" w:eastAsia="es-ES"/>
                            </w:rPr>
                            <w:t xml:space="preserve">Received: </w:t>
                          </w:r>
                          <w:proofErr w:type="spellStart"/>
                          <w:r w:rsidR="002C128F">
                            <w:rPr>
                              <w:sz w:val="18"/>
                              <w:szCs w:val="18"/>
                              <w:lang w:val="en-US" w:eastAsia="es-ES"/>
                            </w:rPr>
                            <w:t>Enero</w:t>
                          </w:r>
                          <w:proofErr w:type="spellEnd"/>
                          <w:r w:rsidR="00012468">
                            <w:rPr>
                              <w:sz w:val="18"/>
                              <w:szCs w:val="18"/>
                              <w:lang w:val="en-US" w:eastAsia="es-ES"/>
                            </w:rPr>
                            <w:t>,</w:t>
                          </w:r>
                          <w:r w:rsidR="009C05CA">
                            <w:rPr>
                              <w:sz w:val="18"/>
                              <w:szCs w:val="18"/>
                              <w:lang w:val="en-US" w:eastAsia="es-ES"/>
                            </w:rPr>
                            <w:t xml:space="preserve"> </w:t>
                          </w:r>
                          <w:r w:rsidR="00C21E89">
                            <w:rPr>
                              <w:sz w:val="18"/>
                              <w:szCs w:val="18"/>
                              <w:lang w:val="en-US" w:eastAsia="es-ES"/>
                            </w:rPr>
                            <w:t>202</w:t>
                          </w:r>
                          <w:r w:rsidR="002C128F">
                            <w:rPr>
                              <w:sz w:val="18"/>
                              <w:szCs w:val="18"/>
                              <w:lang w:val="en-US" w:eastAsia="es-ES"/>
                            </w:rPr>
                            <w:t>6</w:t>
                          </w:r>
                        </w:p>
                        <w:p w14:paraId="71055A3B" w14:textId="74753D32" w:rsidR="004F7A44" w:rsidRPr="008E1B50" w:rsidRDefault="00427D1F" w:rsidP="004F7A44">
                          <w:pPr>
                            <w:ind w:right="33"/>
                            <w:rPr>
                              <w:sz w:val="18"/>
                              <w:szCs w:val="18"/>
                              <w:lang w:val="en-US" w:eastAsia="es-ES"/>
                            </w:rPr>
                          </w:pPr>
                          <w:r w:rsidRPr="008E1B50">
                            <w:rPr>
                              <w:sz w:val="18"/>
                              <w:szCs w:val="18"/>
                              <w:lang w:val="en-US" w:eastAsia="es-ES"/>
                            </w:rPr>
                            <w:t xml:space="preserve">Approved: </w:t>
                          </w:r>
                          <w:proofErr w:type="spellStart"/>
                          <w:r w:rsidR="002C128F">
                            <w:rPr>
                              <w:sz w:val="18"/>
                              <w:szCs w:val="18"/>
                              <w:lang w:val="en-US" w:eastAsia="es-ES"/>
                            </w:rPr>
                            <w:t>Febreo</w:t>
                          </w:r>
                          <w:proofErr w:type="spellEnd"/>
                          <w:r w:rsidR="009C05CA">
                            <w:rPr>
                              <w:sz w:val="18"/>
                              <w:szCs w:val="18"/>
                              <w:lang w:val="en-US" w:eastAsia="es-ES"/>
                            </w:rPr>
                            <w:t>, 20</w:t>
                          </w:r>
                          <w:r w:rsidR="002C128F">
                            <w:rPr>
                              <w:sz w:val="18"/>
                              <w:szCs w:val="18"/>
                              <w:lang w:val="en-US" w:eastAsia="es-ES"/>
                            </w:rPr>
                            <w:t>26</w:t>
                          </w:r>
                        </w:p>
                        <w:p w14:paraId="75636CA3" w14:textId="77777777" w:rsidR="008E1B50" w:rsidRDefault="008E1B50" w:rsidP="000058EC">
                          <w:pPr>
                            <w:ind w:right="49"/>
                            <w:rPr>
                              <w:sz w:val="18"/>
                              <w:szCs w:val="18"/>
                              <w:lang w:val="en-US" w:eastAsia="es-ES"/>
                            </w:rPr>
                          </w:pPr>
                        </w:p>
                        <w:p w14:paraId="024B95F1" w14:textId="77777777" w:rsidR="00AE7E60" w:rsidRDefault="00AE7E60" w:rsidP="000058EC">
                          <w:pPr>
                            <w:ind w:right="49"/>
                            <w:rPr>
                              <w:sz w:val="18"/>
                              <w:szCs w:val="18"/>
                              <w:lang w:val="en-US" w:eastAsia="es-ES"/>
                            </w:rPr>
                          </w:pPr>
                        </w:p>
                        <w:p w14:paraId="28C3E13F" w14:textId="77777777" w:rsidR="00AE7E60" w:rsidRPr="00565589" w:rsidRDefault="00AE7E60" w:rsidP="000058EC">
                          <w:pPr>
                            <w:ind w:right="49"/>
                            <w:rPr>
                              <w:sz w:val="20"/>
                              <w:szCs w:val="20"/>
                              <w:lang w:val="en-US"/>
                            </w:rPr>
                          </w:pPr>
                        </w:p>
                        <w:p w14:paraId="7DA4E52F" w14:textId="77777777" w:rsidR="001808A0" w:rsidRDefault="00427D1F">
                          <w:pPr>
                            <w:ind w:right="49"/>
                            <w:rPr>
                              <w:sz w:val="20"/>
                              <w:szCs w:val="20"/>
                              <w:lang w:val="en-US"/>
                            </w:rPr>
                          </w:pPr>
                          <w:r w:rsidRPr="00565589">
                            <w:rPr>
                              <w:sz w:val="20"/>
                              <w:szCs w:val="20"/>
                              <w:lang w:val="en-US"/>
                            </w:rPr>
                            <w:t>http://www.revista-iberoamericana.org/index.php/es</w:t>
                          </w:r>
                        </w:p>
                        <w:p w14:paraId="39F92EDD" w14:textId="77777777" w:rsidR="004F7A44" w:rsidRPr="00565589" w:rsidRDefault="004F7A44" w:rsidP="000058EC">
                          <w:pPr>
                            <w:ind w:right="33"/>
                            <w:rPr>
                              <w:lang w:val="en-US"/>
                            </w:rPr>
                          </w:pPr>
                        </w:p>
                        <w:p w14:paraId="2787B89E" w14:textId="77777777" w:rsidR="004F7A44" w:rsidRPr="00565589" w:rsidRDefault="004F7A44" w:rsidP="004F7A44">
                          <w:pPr>
                            <w:ind w:right="33"/>
                            <w:rPr>
                              <w:lang w:val="en-US"/>
                            </w:rPr>
                          </w:pPr>
                        </w:p>
                        <w:p w14:paraId="1CC24132" w14:textId="77777777" w:rsidR="004F7A44" w:rsidRPr="00565589" w:rsidRDefault="004F7A44" w:rsidP="004F7A44">
                          <w:pPr>
                            <w:ind w:right="33"/>
                            <w:rPr>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146FF3" id="_x0000_t202" coordsize="21600,21600" o:spt="202" path="m,l,21600r21600,l21600,xe">
              <v:stroke joinstyle="miter"/>
              <v:path gradientshapeok="t" o:connecttype="rect"/>
            </v:shapetype>
            <v:shape id="Cuadro de texto 5" o:spid="_x0000_s1029" type="#_x0000_t202" style="position:absolute;margin-left:-157.15pt;margin-top:247.1pt;width:126.65pt;height:12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" fillcolor="#bfbfbf [2412]" stroked="f" strokeweight=".5pt">
              <v:textbox>
                <w:txbxContent>
                  <w:p w14:paraId="1C81AD56" w14:textId="2307B7F4" w:rsidR="001808A0" w:rsidRDefault="00427D1F">
                    <w:pPr>
                      <w:ind w:right="33"/>
                      <w:rPr>
                        <w:sz w:val="18"/>
                        <w:szCs w:val="18"/>
                        <w:lang w:val="en-US" w:eastAsia="es-ES"/>
                      </w:rPr>
                    </w:pPr>
                    <w:r w:rsidRPr="008E1B50">
                      <w:rPr>
                        <w:sz w:val="18"/>
                        <w:szCs w:val="18"/>
                        <w:lang w:val="en-US" w:eastAsia="es-ES"/>
                      </w:rPr>
                      <w:t xml:space="preserve">Received: </w:t>
                    </w:r>
                    <w:proofErr w:type="spellStart"/>
                    <w:r w:rsidR="002C128F">
                      <w:rPr>
                        <w:sz w:val="18"/>
                        <w:szCs w:val="18"/>
                        <w:lang w:val="en-US" w:eastAsia="es-ES"/>
                      </w:rPr>
                      <w:t>Enero</w:t>
                    </w:r>
                    <w:proofErr w:type="spellEnd"/>
                    <w:r w:rsidR="00012468">
                      <w:rPr>
                        <w:sz w:val="18"/>
                        <w:szCs w:val="18"/>
                        <w:lang w:val="en-US" w:eastAsia="es-ES"/>
                      </w:rPr>
                      <w:t>,</w:t>
                    </w:r>
                    <w:r w:rsidR="009C05CA">
                      <w:rPr>
                        <w:sz w:val="18"/>
                        <w:szCs w:val="18"/>
                        <w:lang w:val="en-US" w:eastAsia="es-ES"/>
                      </w:rPr>
                      <w:t xml:space="preserve"> </w:t>
                    </w:r>
                    <w:r w:rsidR="00C21E89">
                      <w:rPr>
                        <w:sz w:val="18"/>
                        <w:szCs w:val="18"/>
                        <w:lang w:val="en-US" w:eastAsia="es-ES"/>
                      </w:rPr>
                      <w:t>202</w:t>
                    </w:r>
                    <w:r w:rsidR="002C128F">
                      <w:rPr>
                        <w:sz w:val="18"/>
                        <w:szCs w:val="18"/>
                        <w:lang w:val="en-US" w:eastAsia="es-ES"/>
                      </w:rPr>
                      <w:t>6</w:t>
                    </w:r>
                  </w:p>
                  <w:p w14:paraId="71055A3B" w14:textId="74753D32" w:rsidR="004F7A44" w:rsidRPr="008E1B50" w:rsidRDefault="00427D1F" w:rsidP="004F7A44">
                    <w:pPr>
                      <w:ind w:right="33"/>
                      <w:rPr>
                        <w:sz w:val="18"/>
                        <w:szCs w:val="18"/>
                        <w:lang w:val="en-US" w:eastAsia="es-ES"/>
                      </w:rPr>
                    </w:pPr>
                    <w:r w:rsidRPr="008E1B50">
                      <w:rPr>
                        <w:sz w:val="18"/>
                        <w:szCs w:val="18"/>
                        <w:lang w:val="en-US" w:eastAsia="es-ES"/>
                      </w:rPr>
                      <w:t xml:space="preserve">Approved: </w:t>
                    </w:r>
                    <w:proofErr w:type="spellStart"/>
                    <w:r w:rsidR="002C128F">
                      <w:rPr>
                        <w:sz w:val="18"/>
                        <w:szCs w:val="18"/>
                        <w:lang w:val="en-US" w:eastAsia="es-ES"/>
                      </w:rPr>
                      <w:t>Febreo</w:t>
                    </w:r>
                    <w:proofErr w:type="spellEnd"/>
                    <w:r w:rsidR="009C05CA">
                      <w:rPr>
                        <w:sz w:val="18"/>
                        <w:szCs w:val="18"/>
                        <w:lang w:val="en-US" w:eastAsia="es-ES"/>
                      </w:rPr>
                      <w:t>, 20</w:t>
                    </w:r>
                    <w:r w:rsidR="002C128F">
                      <w:rPr>
                        <w:sz w:val="18"/>
                        <w:szCs w:val="18"/>
                        <w:lang w:val="en-US" w:eastAsia="es-ES"/>
                      </w:rPr>
                      <w:t>26</w:t>
                    </w:r>
                  </w:p>
                  <w:p w14:paraId="75636CA3" w14:textId="77777777" w:rsidR="008E1B50" w:rsidRDefault="008E1B50" w:rsidP="000058EC">
                    <w:pPr>
                      <w:ind w:right="49"/>
                      <w:rPr>
                        <w:sz w:val="18"/>
                        <w:szCs w:val="18"/>
                        <w:lang w:val="en-US" w:eastAsia="es-ES"/>
                      </w:rPr>
                    </w:pPr>
                  </w:p>
                  <w:p w14:paraId="024B95F1" w14:textId="77777777" w:rsidR="00AE7E60" w:rsidRDefault="00AE7E60" w:rsidP="000058EC">
                    <w:pPr>
                      <w:ind w:right="49"/>
                      <w:rPr>
                        <w:sz w:val="18"/>
                        <w:szCs w:val="18"/>
                        <w:lang w:val="en-US" w:eastAsia="es-ES"/>
                      </w:rPr>
                    </w:pPr>
                  </w:p>
                  <w:p w14:paraId="28C3E13F" w14:textId="77777777" w:rsidR="00AE7E60" w:rsidRPr="00565589" w:rsidRDefault="00AE7E60" w:rsidP="000058EC">
                    <w:pPr>
                      <w:ind w:right="49"/>
                      <w:rPr>
                        <w:sz w:val="20"/>
                        <w:szCs w:val="20"/>
                        <w:lang w:val="en-US"/>
                      </w:rPr>
                    </w:pPr>
                  </w:p>
                  <w:p w14:paraId="7DA4E52F" w14:textId="77777777" w:rsidR="001808A0" w:rsidRDefault="00427D1F">
                    <w:pPr>
                      <w:ind w:right="49"/>
                      <w:rPr>
                        <w:sz w:val="20"/>
                        <w:szCs w:val="20"/>
                        <w:lang w:val="en-US"/>
                      </w:rPr>
                    </w:pPr>
                    <w:r w:rsidRPr="00565589">
                      <w:rPr>
                        <w:sz w:val="20"/>
                        <w:szCs w:val="20"/>
                        <w:lang w:val="en-US"/>
                      </w:rPr>
                      <w:t>http://www.revista-iberoamericana.org/index.php/es</w:t>
                    </w:r>
                  </w:p>
                  <w:p w14:paraId="39F92EDD" w14:textId="77777777" w:rsidR="004F7A44" w:rsidRPr="00565589" w:rsidRDefault="004F7A44" w:rsidP="000058EC">
                    <w:pPr>
                      <w:ind w:right="33"/>
                      <w:rPr>
                        <w:lang w:val="en-US"/>
                      </w:rPr>
                    </w:pPr>
                  </w:p>
                  <w:p w14:paraId="2787B89E" w14:textId="77777777" w:rsidR="004F7A44" w:rsidRPr="00565589" w:rsidRDefault="004F7A44" w:rsidP="004F7A44">
                    <w:pPr>
                      <w:ind w:right="33"/>
                      <w:rPr>
                        <w:lang w:val="en-US"/>
                      </w:rPr>
                    </w:pPr>
                  </w:p>
                  <w:p w14:paraId="1CC24132" w14:textId="77777777" w:rsidR="004F7A44" w:rsidRPr="00565589" w:rsidRDefault="004F7A44" w:rsidP="004F7A44">
                    <w:pPr>
                      <w:ind w:right="33"/>
                      <w:rPr>
                        <w:sz w:val="18"/>
                        <w:szCs w:val="18"/>
                        <w:lang w:val="en-US"/>
                      </w:rPr>
                    </w:pPr>
                  </w:p>
                </w:txbxContent>
              </v:textbox>
            </v:shape>
          </w:pict>
        </mc:Fallback>
      </mc:AlternateContent>
    </w:r>
    <w:r w:rsidR="00427D1F" w:rsidRPr="004F7A44">
      <w:rPr>
        <w:rFonts w:ascii="Times" w:hAnsi="Times" w:cs="Times"/>
        <w:b/>
        <w:noProof/>
        <w:lang w:val="en-US"/>
      </w:rPr>
      <mc:AlternateContent>
        <mc:Choice Requires="wps">
          <w:drawing>
            <wp:anchor distT="0" distB="0" distL="114300" distR="114300" simplePos="0" relativeHeight="251673600" behindDoc="0" locked="0" layoutInCell="1" allowOverlap="1" wp14:anchorId="60B74678" wp14:editId="7217502B">
              <wp:simplePos x="0" y="0"/>
              <wp:positionH relativeFrom="column">
                <wp:posOffset>-1997308</wp:posOffset>
              </wp:positionH>
              <wp:positionV relativeFrom="paragraph">
                <wp:posOffset>1035328</wp:posOffset>
              </wp:positionV>
              <wp:extent cx="1608455" cy="1960308"/>
              <wp:effectExtent l="0" t="0" r="4445" b="0"/>
              <wp:wrapNone/>
              <wp:docPr id="7" name="Cuadro de texto 7"/>
              <wp:cNvGraphicFramePr/>
              <a:graphic xmlns:a="http://schemas.openxmlformats.org/drawingml/2006/main">
                <a:graphicData uri="http://schemas.microsoft.com/office/word/2010/wordprocessingShape">
                  <wps:wsp>
                    <wps:cNvSpPr txBox="1"/>
                    <wps:spPr>
                      <a:xfrm>
                        <a:off x="0" y="0"/>
                        <a:ext cx="1608455" cy="1960308"/>
                      </a:xfrm>
                      <a:prstGeom prst="rect">
                        <a:avLst/>
                      </a:prstGeom>
                      <a:solidFill>
                        <a:schemeClr val="bg1">
                          <a:lumMod val="75000"/>
                        </a:schemeClr>
                      </a:solidFill>
                      <a:ln w="6350">
                        <a:noFill/>
                      </a:ln>
                    </wps:spPr>
                    <wps:txbx>
                      <w:txbxContent>
                        <w:p w14:paraId="6DF87E9C" w14:textId="77777777" w:rsidR="001808A0" w:rsidRPr="000F6D0C" w:rsidRDefault="00427D1F">
                          <w:pPr>
                            <w:ind w:right="112"/>
                            <w:jc w:val="both"/>
                            <w:rPr>
                              <w:sz w:val="18"/>
                              <w:szCs w:val="18"/>
                              <w:lang w:val="en-US"/>
                            </w:rPr>
                          </w:pPr>
                          <w:r w:rsidRPr="000F6D0C">
                            <w:rPr>
                              <w:sz w:val="18"/>
                              <w:szCs w:val="18"/>
                              <w:lang w:val="en-US"/>
                            </w:rPr>
                            <w:t>How to cite:</w:t>
                          </w:r>
                        </w:p>
                        <w:p w14:paraId="13B507C0" w14:textId="17F6859E" w:rsidR="002C128F" w:rsidRDefault="00837AA2" w:rsidP="00837AA2">
                          <w:pPr>
                            <w:ind w:right="112"/>
                            <w:rPr>
                              <w:sz w:val="18"/>
                              <w:szCs w:val="18"/>
                            </w:rPr>
                          </w:pPr>
                          <w:r w:rsidRPr="000F6D0C">
                            <w:rPr>
                              <w:sz w:val="18"/>
                              <w:szCs w:val="18"/>
                              <w:lang w:val="en-US"/>
                            </w:rPr>
                            <w:t xml:space="preserve"> Torres, Y. Gutiérrez, J., Páez, N.</w:t>
                          </w:r>
                          <w:r w:rsidR="0038100B" w:rsidRPr="000F6D0C">
                            <w:rPr>
                              <w:sz w:val="18"/>
                              <w:szCs w:val="18"/>
                              <w:lang w:val="en-US"/>
                            </w:rPr>
                            <w:t xml:space="preserve"> </w:t>
                          </w:r>
                          <w:r w:rsidR="00565589" w:rsidRPr="000F6D0C">
                            <w:rPr>
                              <w:sz w:val="18"/>
                              <w:szCs w:val="18"/>
                              <w:lang w:val="en-US"/>
                            </w:rPr>
                            <w:t>(</w:t>
                          </w:r>
                          <w:r w:rsidR="004056C7" w:rsidRPr="000F6D0C">
                            <w:rPr>
                              <w:sz w:val="18"/>
                              <w:szCs w:val="18"/>
                              <w:lang w:val="en-US"/>
                            </w:rPr>
                            <w:t>202</w:t>
                          </w:r>
                          <w:r w:rsidR="004B00CB" w:rsidRPr="000F6D0C">
                            <w:rPr>
                              <w:sz w:val="18"/>
                              <w:szCs w:val="18"/>
                              <w:lang w:val="en-US"/>
                            </w:rPr>
                            <w:t>6</w:t>
                          </w:r>
                          <w:r w:rsidR="00565589" w:rsidRPr="000F6D0C">
                            <w:rPr>
                              <w:sz w:val="18"/>
                              <w:szCs w:val="18"/>
                              <w:lang w:val="en-US"/>
                            </w:rPr>
                            <w:t>)</w:t>
                          </w:r>
                          <w:r w:rsidRPr="000F6D0C">
                            <w:rPr>
                              <w:sz w:val="18"/>
                              <w:szCs w:val="18"/>
                              <w:lang w:val="en-US"/>
                            </w:rPr>
                            <w:t>.</w:t>
                          </w:r>
                          <w:r w:rsidR="002C128F" w:rsidRPr="000F6D0C">
                            <w:rPr>
                              <w:sz w:val="18"/>
                              <w:szCs w:val="18"/>
                              <w:lang w:val="en-US"/>
                            </w:rPr>
                            <w:t xml:space="preserve"> </w:t>
                          </w:r>
                          <w:r w:rsidRPr="00837AA2">
                            <w:rPr>
                              <w:sz w:val="18"/>
                              <w:szCs w:val="18"/>
                            </w:rPr>
                            <w:t>Impacto de la resistencia antimicrobiana en el primer nivel de atención.</w:t>
                          </w:r>
                          <w:r>
                            <w:rPr>
                              <w:sz w:val="18"/>
                              <w:szCs w:val="18"/>
                            </w:rPr>
                            <w:t xml:space="preserve"> </w:t>
                          </w:r>
                        </w:p>
                        <w:p w14:paraId="2B843F9C" w14:textId="59650671" w:rsidR="001808A0" w:rsidRPr="002C128F" w:rsidRDefault="00565589" w:rsidP="002C128F">
                          <w:pPr>
                            <w:ind w:right="112"/>
                            <w:jc w:val="both"/>
                            <w:rPr>
                              <w:color w:val="FF0000"/>
                              <w:sz w:val="18"/>
                              <w:szCs w:val="18"/>
                            </w:rPr>
                          </w:pPr>
                          <w:r w:rsidRPr="00656BA0">
                            <w:rPr>
                              <w:i/>
                              <w:iCs/>
                              <w:sz w:val="18"/>
                              <w:szCs w:val="18"/>
                            </w:rPr>
                            <w:t xml:space="preserve">Revista Iberoamericana De educación, </w:t>
                          </w:r>
                          <w:r w:rsidR="00012468" w:rsidRPr="00656BA0">
                            <w:rPr>
                              <w:sz w:val="18"/>
                              <w:szCs w:val="18"/>
                            </w:rPr>
                            <w:t>9</w:t>
                          </w:r>
                          <w:r w:rsidR="004056C7" w:rsidRPr="00656BA0">
                            <w:rPr>
                              <w:sz w:val="18"/>
                              <w:szCs w:val="18"/>
                            </w:rPr>
                            <w:t xml:space="preserve"> </w:t>
                          </w:r>
                          <w:r w:rsidRPr="00656BA0">
                            <w:rPr>
                              <w:sz w:val="18"/>
                              <w:szCs w:val="18"/>
                            </w:rPr>
                            <w:t>(</w:t>
                          </w:r>
                          <w:r w:rsidR="00012468" w:rsidRPr="00656BA0">
                            <w:rPr>
                              <w:sz w:val="18"/>
                              <w:szCs w:val="18"/>
                            </w:rPr>
                            <w:t>1</w:t>
                          </w:r>
                          <w:r w:rsidRPr="00656BA0">
                            <w:rPr>
                              <w:sz w:val="18"/>
                              <w:szCs w:val="18"/>
                            </w:rPr>
                            <w:t>).</w:t>
                          </w:r>
                        </w:p>
                        <w:p w14:paraId="0B88FEF2" w14:textId="77777777" w:rsidR="00565589" w:rsidRPr="00656BA0" w:rsidRDefault="00565589" w:rsidP="00565589">
                          <w:pPr>
                            <w:ind w:right="43"/>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B74678" id="Cuadro de texto 7" o:spid="_x0000_s1030" type="#_x0000_t202" style="position:absolute;margin-left:-157.25pt;margin-top:81.5pt;width:126.65pt;height:154.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" fillcolor="#bfbfbf [2412]" stroked="f" strokeweight=".5pt">
              <v:textbox>
                <w:txbxContent>
                  <w:p w14:paraId="6DF87E9C" w14:textId="77777777" w:rsidR="001808A0" w:rsidRPr="000F6D0C" w:rsidRDefault="00427D1F">
                    <w:pPr>
                      <w:ind w:right="112"/>
                      <w:jc w:val="both"/>
                      <w:rPr>
                        <w:sz w:val="18"/>
                        <w:szCs w:val="18"/>
                        <w:lang w:val="en-US"/>
                      </w:rPr>
                    </w:pPr>
                    <w:r w:rsidRPr="000F6D0C">
                      <w:rPr>
                        <w:sz w:val="18"/>
                        <w:szCs w:val="18"/>
                        <w:lang w:val="en-US"/>
                      </w:rPr>
                      <w:t>How to cite:</w:t>
                    </w:r>
                  </w:p>
                  <w:p w14:paraId="13B507C0" w14:textId="17F6859E" w:rsidR="002C128F" w:rsidRDefault="00837AA2" w:rsidP="00837AA2">
                    <w:pPr>
                      <w:ind w:right="112"/>
                      <w:rPr>
                        <w:sz w:val="18"/>
                        <w:szCs w:val="18"/>
                      </w:rPr>
                    </w:pPr>
                    <w:r w:rsidRPr="000F6D0C">
                      <w:rPr>
                        <w:sz w:val="18"/>
                        <w:szCs w:val="18"/>
                        <w:lang w:val="en-US"/>
                      </w:rPr>
                      <w:t xml:space="preserve"> Torres, Y. Gutiérrez, J., Páez, N.</w:t>
                    </w:r>
                    <w:r w:rsidR="0038100B" w:rsidRPr="000F6D0C">
                      <w:rPr>
                        <w:sz w:val="18"/>
                        <w:szCs w:val="18"/>
                        <w:lang w:val="en-US"/>
                      </w:rPr>
                      <w:t xml:space="preserve"> </w:t>
                    </w:r>
                    <w:r w:rsidR="00565589" w:rsidRPr="000F6D0C">
                      <w:rPr>
                        <w:sz w:val="18"/>
                        <w:szCs w:val="18"/>
                        <w:lang w:val="en-US"/>
                      </w:rPr>
                      <w:t>(</w:t>
                    </w:r>
                    <w:r w:rsidR="004056C7" w:rsidRPr="000F6D0C">
                      <w:rPr>
                        <w:sz w:val="18"/>
                        <w:szCs w:val="18"/>
                        <w:lang w:val="en-US"/>
                      </w:rPr>
                      <w:t>202</w:t>
                    </w:r>
                    <w:r w:rsidR="004B00CB" w:rsidRPr="000F6D0C">
                      <w:rPr>
                        <w:sz w:val="18"/>
                        <w:szCs w:val="18"/>
                        <w:lang w:val="en-US"/>
                      </w:rPr>
                      <w:t>6</w:t>
                    </w:r>
                    <w:r w:rsidR="00565589" w:rsidRPr="000F6D0C">
                      <w:rPr>
                        <w:sz w:val="18"/>
                        <w:szCs w:val="18"/>
                        <w:lang w:val="en-US"/>
                      </w:rPr>
                      <w:t>)</w:t>
                    </w:r>
                    <w:r w:rsidRPr="000F6D0C">
                      <w:rPr>
                        <w:sz w:val="18"/>
                        <w:szCs w:val="18"/>
                        <w:lang w:val="en-US"/>
                      </w:rPr>
                      <w:t>.</w:t>
                    </w:r>
                    <w:r w:rsidR="002C128F" w:rsidRPr="000F6D0C">
                      <w:rPr>
                        <w:sz w:val="18"/>
                        <w:szCs w:val="18"/>
                        <w:lang w:val="en-US"/>
                      </w:rPr>
                      <w:t xml:space="preserve"> </w:t>
                    </w:r>
                    <w:r w:rsidRPr="00837AA2">
                      <w:rPr>
                        <w:sz w:val="18"/>
                        <w:szCs w:val="18"/>
                      </w:rPr>
                      <w:t>Impacto de la resistencia antimicrobiana en el primer nivel de atención.</w:t>
                    </w:r>
                    <w:r>
                      <w:rPr>
                        <w:sz w:val="18"/>
                        <w:szCs w:val="18"/>
                      </w:rPr>
                      <w:t xml:space="preserve"> </w:t>
                    </w:r>
                  </w:p>
                  <w:p w14:paraId="2B843F9C" w14:textId="59650671" w:rsidR="001808A0" w:rsidRPr="002C128F" w:rsidRDefault="00565589" w:rsidP="002C128F">
                    <w:pPr>
                      <w:ind w:right="112"/>
                      <w:jc w:val="both"/>
                      <w:rPr>
                        <w:color w:val="FF0000"/>
                        <w:sz w:val="18"/>
                        <w:szCs w:val="18"/>
                      </w:rPr>
                    </w:pPr>
                    <w:r w:rsidRPr="00656BA0">
                      <w:rPr>
                        <w:i/>
                        <w:iCs/>
                        <w:sz w:val="18"/>
                        <w:szCs w:val="18"/>
                      </w:rPr>
                      <w:t xml:space="preserve">Revista Iberoamericana De educación, </w:t>
                    </w:r>
                    <w:r w:rsidR="00012468" w:rsidRPr="00656BA0">
                      <w:rPr>
                        <w:sz w:val="18"/>
                        <w:szCs w:val="18"/>
                      </w:rPr>
                      <w:t>9</w:t>
                    </w:r>
                    <w:r w:rsidR="004056C7" w:rsidRPr="00656BA0">
                      <w:rPr>
                        <w:sz w:val="18"/>
                        <w:szCs w:val="18"/>
                      </w:rPr>
                      <w:t xml:space="preserve"> </w:t>
                    </w:r>
                    <w:r w:rsidRPr="00656BA0">
                      <w:rPr>
                        <w:sz w:val="18"/>
                        <w:szCs w:val="18"/>
                      </w:rPr>
                      <w:t>(</w:t>
                    </w:r>
                    <w:r w:rsidR="00012468" w:rsidRPr="00656BA0">
                      <w:rPr>
                        <w:sz w:val="18"/>
                        <w:szCs w:val="18"/>
                      </w:rPr>
                      <w:t>1</w:t>
                    </w:r>
                    <w:r w:rsidRPr="00656BA0">
                      <w:rPr>
                        <w:sz w:val="18"/>
                        <w:szCs w:val="18"/>
                      </w:rPr>
                      <w:t>).</w:t>
                    </w:r>
                  </w:p>
                  <w:p w14:paraId="0B88FEF2" w14:textId="77777777" w:rsidR="00565589" w:rsidRPr="00656BA0" w:rsidRDefault="00565589" w:rsidP="00565589">
                    <w:pPr>
                      <w:ind w:right="43"/>
                      <w:rPr>
                        <w:sz w:val="18"/>
                        <w:szCs w:val="18"/>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22A2"/>
    <w:multiLevelType w:val="hybridMultilevel"/>
    <w:tmpl w:val="BA12F60A"/>
    <w:lvl w:ilvl="0" w:tplc="300A0001">
      <w:start w:val="1"/>
      <w:numFmt w:val="bullet"/>
      <w:lvlText w:val=""/>
      <w:lvlJc w:val="left"/>
      <w:pPr>
        <w:ind w:left="1350" w:hanging="360"/>
      </w:pPr>
      <w:rPr>
        <w:rFonts w:ascii="Symbol" w:hAnsi="Symbol" w:hint="default"/>
      </w:rPr>
    </w:lvl>
    <w:lvl w:ilvl="1" w:tplc="300A0003" w:tentative="1">
      <w:start w:val="1"/>
      <w:numFmt w:val="bullet"/>
      <w:lvlText w:val="o"/>
      <w:lvlJc w:val="left"/>
      <w:pPr>
        <w:ind w:left="2070" w:hanging="360"/>
      </w:pPr>
      <w:rPr>
        <w:rFonts w:ascii="Courier New" w:hAnsi="Courier New" w:cs="Courier New" w:hint="default"/>
      </w:rPr>
    </w:lvl>
    <w:lvl w:ilvl="2" w:tplc="300A0005" w:tentative="1">
      <w:start w:val="1"/>
      <w:numFmt w:val="bullet"/>
      <w:lvlText w:val=""/>
      <w:lvlJc w:val="left"/>
      <w:pPr>
        <w:ind w:left="2790" w:hanging="360"/>
      </w:pPr>
      <w:rPr>
        <w:rFonts w:ascii="Wingdings" w:hAnsi="Wingdings" w:hint="default"/>
      </w:rPr>
    </w:lvl>
    <w:lvl w:ilvl="3" w:tplc="300A0001" w:tentative="1">
      <w:start w:val="1"/>
      <w:numFmt w:val="bullet"/>
      <w:lvlText w:val=""/>
      <w:lvlJc w:val="left"/>
      <w:pPr>
        <w:ind w:left="3510" w:hanging="360"/>
      </w:pPr>
      <w:rPr>
        <w:rFonts w:ascii="Symbol" w:hAnsi="Symbol" w:hint="default"/>
      </w:rPr>
    </w:lvl>
    <w:lvl w:ilvl="4" w:tplc="300A0003" w:tentative="1">
      <w:start w:val="1"/>
      <w:numFmt w:val="bullet"/>
      <w:lvlText w:val="o"/>
      <w:lvlJc w:val="left"/>
      <w:pPr>
        <w:ind w:left="4230" w:hanging="360"/>
      </w:pPr>
      <w:rPr>
        <w:rFonts w:ascii="Courier New" w:hAnsi="Courier New" w:cs="Courier New" w:hint="default"/>
      </w:rPr>
    </w:lvl>
    <w:lvl w:ilvl="5" w:tplc="300A0005" w:tentative="1">
      <w:start w:val="1"/>
      <w:numFmt w:val="bullet"/>
      <w:lvlText w:val=""/>
      <w:lvlJc w:val="left"/>
      <w:pPr>
        <w:ind w:left="4950" w:hanging="360"/>
      </w:pPr>
      <w:rPr>
        <w:rFonts w:ascii="Wingdings" w:hAnsi="Wingdings" w:hint="default"/>
      </w:rPr>
    </w:lvl>
    <w:lvl w:ilvl="6" w:tplc="300A0001" w:tentative="1">
      <w:start w:val="1"/>
      <w:numFmt w:val="bullet"/>
      <w:lvlText w:val=""/>
      <w:lvlJc w:val="left"/>
      <w:pPr>
        <w:ind w:left="5670" w:hanging="360"/>
      </w:pPr>
      <w:rPr>
        <w:rFonts w:ascii="Symbol" w:hAnsi="Symbol" w:hint="default"/>
      </w:rPr>
    </w:lvl>
    <w:lvl w:ilvl="7" w:tplc="300A0003" w:tentative="1">
      <w:start w:val="1"/>
      <w:numFmt w:val="bullet"/>
      <w:lvlText w:val="o"/>
      <w:lvlJc w:val="left"/>
      <w:pPr>
        <w:ind w:left="6390" w:hanging="360"/>
      </w:pPr>
      <w:rPr>
        <w:rFonts w:ascii="Courier New" w:hAnsi="Courier New" w:cs="Courier New" w:hint="default"/>
      </w:rPr>
    </w:lvl>
    <w:lvl w:ilvl="8" w:tplc="300A0005" w:tentative="1">
      <w:start w:val="1"/>
      <w:numFmt w:val="bullet"/>
      <w:lvlText w:val=""/>
      <w:lvlJc w:val="left"/>
      <w:pPr>
        <w:ind w:left="7110" w:hanging="360"/>
      </w:pPr>
      <w:rPr>
        <w:rFonts w:ascii="Wingdings" w:hAnsi="Wingdings" w:hint="default"/>
      </w:rPr>
    </w:lvl>
  </w:abstractNum>
  <w:abstractNum w:abstractNumId="1" w15:restartNumberingAfterBreak="0">
    <w:nsid w:val="01C22E0B"/>
    <w:multiLevelType w:val="hybridMultilevel"/>
    <w:tmpl w:val="89BA1AE0"/>
    <w:lvl w:ilvl="0" w:tplc="47027A9E">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3296CCE"/>
    <w:multiLevelType w:val="hybridMultilevel"/>
    <w:tmpl w:val="E12608D6"/>
    <w:lvl w:ilvl="0" w:tplc="A000C852">
      <w:start w:val="3"/>
      <w:numFmt w:val="bullet"/>
      <w:lvlText w:val="-"/>
      <w:lvlJc w:val="left"/>
      <w:pPr>
        <w:ind w:left="360" w:hanging="360"/>
      </w:pPr>
      <w:rPr>
        <w:rFonts w:ascii="Tahoma" w:eastAsia="Tahoma" w:hAnsi="Tahoma" w:cs="Tahoma"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3" w15:restartNumberingAfterBreak="0">
    <w:nsid w:val="127710BF"/>
    <w:multiLevelType w:val="hybridMultilevel"/>
    <w:tmpl w:val="33AA55FE"/>
    <w:lvl w:ilvl="0" w:tplc="2BB2A9F8">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7F42E0"/>
    <w:multiLevelType w:val="hybridMultilevel"/>
    <w:tmpl w:val="8B362ACE"/>
    <w:lvl w:ilvl="0" w:tplc="180A000F">
      <w:start w:val="1"/>
      <w:numFmt w:val="decimal"/>
      <w:lvlText w:val="%1."/>
      <w:lvlJc w:val="left"/>
      <w:pPr>
        <w:ind w:left="360" w:hanging="360"/>
      </w:pPr>
    </w:lvl>
    <w:lvl w:ilvl="1" w:tplc="180A0019" w:tentative="1">
      <w:start w:val="1"/>
      <w:numFmt w:val="lowerLetter"/>
      <w:lvlText w:val="%2."/>
      <w:lvlJc w:val="left"/>
      <w:pPr>
        <w:ind w:left="1080" w:hanging="360"/>
      </w:pPr>
    </w:lvl>
    <w:lvl w:ilvl="2" w:tplc="180A001B" w:tentative="1">
      <w:start w:val="1"/>
      <w:numFmt w:val="lowerRoman"/>
      <w:lvlText w:val="%3."/>
      <w:lvlJc w:val="right"/>
      <w:pPr>
        <w:ind w:left="1800" w:hanging="180"/>
      </w:pPr>
    </w:lvl>
    <w:lvl w:ilvl="3" w:tplc="180A000F" w:tentative="1">
      <w:start w:val="1"/>
      <w:numFmt w:val="decimal"/>
      <w:lvlText w:val="%4."/>
      <w:lvlJc w:val="left"/>
      <w:pPr>
        <w:ind w:left="2520" w:hanging="360"/>
      </w:pPr>
    </w:lvl>
    <w:lvl w:ilvl="4" w:tplc="180A0019" w:tentative="1">
      <w:start w:val="1"/>
      <w:numFmt w:val="lowerLetter"/>
      <w:lvlText w:val="%5."/>
      <w:lvlJc w:val="left"/>
      <w:pPr>
        <w:ind w:left="3240" w:hanging="360"/>
      </w:pPr>
    </w:lvl>
    <w:lvl w:ilvl="5" w:tplc="180A001B" w:tentative="1">
      <w:start w:val="1"/>
      <w:numFmt w:val="lowerRoman"/>
      <w:lvlText w:val="%6."/>
      <w:lvlJc w:val="right"/>
      <w:pPr>
        <w:ind w:left="3960" w:hanging="180"/>
      </w:pPr>
    </w:lvl>
    <w:lvl w:ilvl="6" w:tplc="180A000F" w:tentative="1">
      <w:start w:val="1"/>
      <w:numFmt w:val="decimal"/>
      <w:lvlText w:val="%7."/>
      <w:lvlJc w:val="left"/>
      <w:pPr>
        <w:ind w:left="4680" w:hanging="360"/>
      </w:pPr>
    </w:lvl>
    <w:lvl w:ilvl="7" w:tplc="180A0019" w:tentative="1">
      <w:start w:val="1"/>
      <w:numFmt w:val="lowerLetter"/>
      <w:lvlText w:val="%8."/>
      <w:lvlJc w:val="left"/>
      <w:pPr>
        <w:ind w:left="5400" w:hanging="360"/>
      </w:pPr>
    </w:lvl>
    <w:lvl w:ilvl="8" w:tplc="180A001B" w:tentative="1">
      <w:start w:val="1"/>
      <w:numFmt w:val="lowerRoman"/>
      <w:lvlText w:val="%9."/>
      <w:lvlJc w:val="right"/>
      <w:pPr>
        <w:ind w:left="6120" w:hanging="180"/>
      </w:pPr>
    </w:lvl>
  </w:abstractNum>
  <w:abstractNum w:abstractNumId="5" w15:restartNumberingAfterBreak="0">
    <w:nsid w:val="18495CE9"/>
    <w:multiLevelType w:val="hybridMultilevel"/>
    <w:tmpl w:val="60C4B94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204B1006"/>
    <w:multiLevelType w:val="hybridMultilevel"/>
    <w:tmpl w:val="BEBA879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2AA53EB3"/>
    <w:multiLevelType w:val="multilevel"/>
    <w:tmpl w:val="1F1006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E355625"/>
    <w:multiLevelType w:val="hybridMultilevel"/>
    <w:tmpl w:val="38E620D0"/>
    <w:lvl w:ilvl="0" w:tplc="BD9EF6D0">
      <w:start w:val="10"/>
      <w:numFmt w:val="bullet"/>
      <w:lvlText w:val="-"/>
      <w:lvlJc w:val="left"/>
      <w:pPr>
        <w:ind w:left="720" w:hanging="360"/>
      </w:pPr>
      <w:rPr>
        <w:rFonts w:ascii="Times New Roman" w:eastAsia="Times New Roman"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3200988"/>
    <w:multiLevelType w:val="hybridMultilevel"/>
    <w:tmpl w:val="E7CE6BA0"/>
    <w:lvl w:ilvl="0" w:tplc="91C60504">
      <w:numFmt w:val="bullet"/>
      <w:lvlText w:val="-"/>
      <w:lvlJc w:val="left"/>
      <w:pPr>
        <w:ind w:left="720" w:hanging="360"/>
      </w:pPr>
      <w:rPr>
        <w:rFonts w:ascii="Times New Roman" w:eastAsia="Calibri" w:hAnsi="Times New Roman" w:cs="Times New Roman"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0" w15:restartNumberingAfterBreak="0">
    <w:nsid w:val="361920B3"/>
    <w:multiLevelType w:val="hybridMultilevel"/>
    <w:tmpl w:val="68B45B9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9E11ADE"/>
    <w:multiLevelType w:val="hybridMultilevel"/>
    <w:tmpl w:val="D94CD94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3AE113DD"/>
    <w:multiLevelType w:val="hybridMultilevel"/>
    <w:tmpl w:val="50AC6572"/>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41935BD7"/>
    <w:multiLevelType w:val="hybridMultilevel"/>
    <w:tmpl w:val="D6DE9560"/>
    <w:lvl w:ilvl="0" w:tplc="D53E29B8">
      <w:numFmt w:val="bullet"/>
      <w:lvlText w:val="-"/>
      <w:lvlJc w:val="left"/>
      <w:pPr>
        <w:ind w:left="1800" w:hanging="360"/>
      </w:pPr>
      <w:rPr>
        <w:rFonts w:ascii="Helvetica Ligth" w:eastAsia="Times New Roman" w:hAnsi="Helvetica Ligth" w:cs="Aria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54E7342"/>
    <w:multiLevelType w:val="hybridMultilevel"/>
    <w:tmpl w:val="742ACAFA"/>
    <w:lvl w:ilvl="0" w:tplc="DB4CAD36">
      <w:numFmt w:val="bullet"/>
      <w:lvlText w:val="-"/>
      <w:lvlJc w:val="left"/>
      <w:pPr>
        <w:ind w:left="720" w:hanging="360"/>
      </w:pPr>
      <w:rPr>
        <w:rFonts w:ascii="Times New Roman" w:eastAsia="Arial Unicode MS" w:hAnsi="Times New Roman"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4BF53F88"/>
    <w:multiLevelType w:val="multilevel"/>
    <w:tmpl w:val="E6F606B4"/>
    <w:lvl w:ilvl="0">
      <w:start w:val="1"/>
      <w:numFmt w:val="decimal"/>
      <w:lvlText w:val="%1."/>
      <w:lvlJc w:val="left"/>
      <w:pPr>
        <w:ind w:left="360" w:hanging="360"/>
      </w:pPr>
      <w:rPr>
        <w:rFonts w:hint="default"/>
        <w:b/>
        <w:sz w:val="24"/>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720" w:hanging="72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080" w:hanging="1080"/>
      </w:pPr>
      <w:rPr>
        <w:rFonts w:hint="default"/>
        <w:b/>
        <w:sz w:val="24"/>
      </w:rPr>
    </w:lvl>
    <w:lvl w:ilvl="7">
      <w:start w:val="1"/>
      <w:numFmt w:val="decimal"/>
      <w:lvlText w:val="%1.%2.%3.%4.%5.%6.%7.%8."/>
      <w:lvlJc w:val="left"/>
      <w:pPr>
        <w:ind w:left="1080" w:hanging="1080"/>
      </w:pPr>
      <w:rPr>
        <w:rFonts w:hint="default"/>
        <w:b/>
        <w:sz w:val="24"/>
      </w:rPr>
    </w:lvl>
    <w:lvl w:ilvl="8">
      <w:start w:val="1"/>
      <w:numFmt w:val="decimal"/>
      <w:lvlText w:val="%1.%2.%3.%4.%5.%6.%7.%8.%9."/>
      <w:lvlJc w:val="left"/>
      <w:pPr>
        <w:ind w:left="1440" w:hanging="1440"/>
      </w:pPr>
      <w:rPr>
        <w:rFonts w:hint="default"/>
        <w:b/>
        <w:sz w:val="24"/>
      </w:rPr>
    </w:lvl>
  </w:abstractNum>
  <w:abstractNum w:abstractNumId="16" w15:restartNumberingAfterBreak="0">
    <w:nsid w:val="4D185D15"/>
    <w:multiLevelType w:val="hybridMultilevel"/>
    <w:tmpl w:val="80CC981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 w15:restartNumberingAfterBreak="0">
    <w:nsid w:val="4E4C02AD"/>
    <w:multiLevelType w:val="hybridMultilevel"/>
    <w:tmpl w:val="9C8C4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9A7C6D"/>
    <w:multiLevelType w:val="hybridMultilevel"/>
    <w:tmpl w:val="2D822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382EC5"/>
    <w:multiLevelType w:val="hybridMultilevel"/>
    <w:tmpl w:val="DB002F12"/>
    <w:lvl w:ilvl="0" w:tplc="3414328C">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0" w15:restartNumberingAfterBreak="0">
    <w:nsid w:val="560F42FD"/>
    <w:multiLevelType w:val="hybridMultilevel"/>
    <w:tmpl w:val="4096140C"/>
    <w:lvl w:ilvl="0" w:tplc="AFB43C2C">
      <w:start w:val="1"/>
      <w:numFmt w:val="bullet"/>
      <w:lvlText w:val="-"/>
      <w:lvlJc w:val="left"/>
      <w:pPr>
        <w:ind w:left="360" w:hanging="360"/>
      </w:pPr>
      <w:rPr>
        <w:rFonts w:ascii="Arial" w:eastAsia="Times New Roman" w:hAnsi="Arial" w:cs="Arial" w:hint="default"/>
      </w:rPr>
    </w:lvl>
    <w:lvl w:ilvl="1" w:tplc="180A0003">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21" w15:restartNumberingAfterBreak="0">
    <w:nsid w:val="56B369A9"/>
    <w:multiLevelType w:val="hybridMultilevel"/>
    <w:tmpl w:val="A4F84D1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2" w15:restartNumberingAfterBreak="0">
    <w:nsid w:val="65744CDC"/>
    <w:multiLevelType w:val="multilevel"/>
    <w:tmpl w:val="C7328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5B63EB1"/>
    <w:multiLevelType w:val="hybridMultilevel"/>
    <w:tmpl w:val="7C1A7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FD42A1"/>
    <w:multiLevelType w:val="hybridMultilevel"/>
    <w:tmpl w:val="DE7CFCD4"/>
    <w:lvl w:ilvl="0" w:tplc="180A000F">
      <w:start w:val="1"/>
      <w:numFmt w:val="decimal"/>
      <w:lvlText w:val="%1."/>
      <w:lvlJc w:val="left"/>
      <w:pPr>
        <w:ind w:left="360" w:hanging="360"/>
      </w:pPr>
    </w:lvl>
    <w:lvl w:ilvl="1" w:tplc="180A0019" w:tentative="1">
      <w:start w:val="1"/>
      <w:numFmt w:val="lowerLetter"/>
      <w:lvlText w:val="%2."/>
      <w:lvlJc w:val="left"/>
      <w:pPr>
        <w:ind w:left="1080" w:hanging="360"/>
      </w:pPr>
    </w:lvl>
    <w:lvl w:ilvl="2" w:tplc="180A001B" w:tentative="1">
      <w:start w:val="1"/>
      <w:numFmt w:val="lowerRoman"/>
      <w:lvlText w:val="%3."/>
      <w:lvlJc w:val="right"/>
      <w:pPr>
        <w:ind w:left="1800" w:hanging="180"/>
      </w:pPr>
    </w:lvl>
    <w:lvl w:ilvl="3" w:tplc="180A000F" w:tentative="1">
      <w:start w:val="1"/>
      <w:numFmt w:val="decimal"/>
      <w:lvlText w:val="%4."/>
      <w:lvlJc w:val="left"/>
      <w:pPr>
        <w:ind w:left="2520" w:hanging="360"/>
      </w:pPr>
    </w:lvl>
    <w:lvl w:ilvl="4" w:tplc="180A0019" w:tentative="1">
      <w:start w:val="1"/>
      <w:numFmt w:val="lowerLetter"/>
      <w:lvlText w:val="%5."/>
      <w:lvlJc w:val="left"/>
      <w:pPr>
        <w:ind w:left="3240" w:hanging="360"/>
      </w:pPr>
    </w:lvl>
    <w:lvl w:ilvl="5" w:tplc="180A001B" w:tentative="1">
      <w:start w:val="1"/>
      <w:numFmt w:val="lowerRoman"/>
      <w:lvlText w:val="%6."/>
      <w:lvlJc w:val="right"/>
      <w:pPr>
        <w:ind w:left="3960" w:hanging="180"/>
      </w:pPr>
    </w:lvl>
    <w:lvl w:ilvl="6" w:tplc="180A000F" w:tentative="1">
      <w:start w:val="1"/>
      <w:numFmt w:val="decimal"/>
      <w:lvlText w:val="%7."/>
      <w:lvlJc w:val="left"/>
      <w:pPr>
        <w:ind w:left="4680" w:hanging="360"/>
      </w:pPr>
    </w:lvl>
    <w:lvl w:ilvl="7" w:tplc="180A0019" w:tentative="1">
      <w:start w:val="1"/>
      <w:numFmt w:val="lowerLetter"/>
      <w:lvlText w:val="%8."/>
      <w:lvlJc w:val="left"/>
      <w:pPr>
        <w:ind w:left="5400" w:hanging="360"/>
      </w:pPr>
    </w:lvl>
    <w:lvl w:ilvl="8" w:tplc="180A001B" w:tentative="1">
      <w:start w:val="1"/>
      <w:numFmt w:val="lowerRoman"/>
      <w:lvlText w:val="%9."/>
      <w:lvlJc w:val="right"/>
      <w:pPr>
        <w:ind w:left="6120" w:hanging="180"/>
      </w:pPr>
    </w:lvl>
  </w:abstractNum>
  <w:abstractNum w:abstractNumId="25" w15:restartNumberingAfterBreak="0">
    <w:nsid w:val="72852BC3"/>
    <w:multiLevelType w:val="hybridMultilevel"/>
    <w:tmpl w:val="1B18D6EE"/>
    <w:lvl w:ilvl="0" w:tplc="6AB40A8C">
      <w:start w:val="1"/>
      <w:numFmt w:val="decimal"/>
      <w:lvlText w:val="%1."/>
      <w:lvlJc w:val="left"/>
      <w:pPr>
        <w:ind w:left="432" w:hanging="360"/>
      </w:pPr>
      <w:rPr>
        <w:rFonts w:hint="default"/>
      </w:rPr>
    </w:lvl>
    <w:lvl w:ilvl="1" w:tplc="280A0019" w:tentative="1">
      <w:start w:val="1"/>
      <w:numFmt w:val="lowerLetter"/>
      <w:lvlText w:val="%2."/>
      <w:lvlJc w:val="left"/>
      <w:pPr>
        <w:ind w:left="1152" w:hanging="360"/>
      </w:pPr>
    </w:lvl>
    <w:lvl w:ilvl="2" w:tplc="280A001B" w:tentative="1">
      <w:start w:val="1"/>
      <w:numFmt w:val="lowerRoman"/>
      <w:lvlText w:val="%3."/>
      <w:lvlJc w:val="right"/>
      <w:pPr>
        <w:ind w:left="1872" w:hanging="180"/>
      </w:pPr>
    </w:lvl>
    <w:lvl w:ilvl="3" w:tplc="280A000F" w:tentative="1">
      <w:start w:val="1"/>
      <w:numFmt w:val="decimal"/>
      <w:lvlText w:val="%4."/>
      <w:lvlJc w:val="left"/>
      <w:pPr>
        <w:ind w:left="2592" w:hanging="360"/>
      </w:pPr>
    </w:lvl>
    <w:lvl w:ilvl="4" w:tplc="280A0019" w:tentative="1">
      <w:start w:val="1"/>
      <w:numFmt w:val="lowerLetter"/>
      <w:lvlText w:val="%5."/>
      <w:lvlJc w:val="left"/>
      <w:pPr>
        <w:ind w:left="3312" w:hanging="360"/>
      </w:pPr>
    </w:lvl>
    <w:lvl w:ilvl="5" w:tplc="280A001B" w:tentative="1">
      <w:start w:val="1"/>
      <w:numFmt w:val="lowerRoman"/>
      <w:lvlText w:val="%6."/>
      <w:lvlJc w:val="right"/>
      <w:pPr>
        <w:ind w:left="4032" w:hanging="180"/>
      </w:pPr>
    </w:lvl>
    <w:lvl w:ilvl="6" w:tplc="280A000F" w:tentative="1">
      <w:start w:val="1"/>
      <w:numFmt w:val="decimal"/>
      <w:lvlText w:val="%7."/>
      <w:lvlJc w:val="left"/>
      <w:pPr>
        <w:ind w:left="4752" w:hanging="360"/>
      </w:pPr>
    </w:lvl>
    <w:lvl w:ilvl="7" w:tplc="280A0019" w:tentative="1">
      <w:start w:val="1"/>
      <w:numFmt w:val="lowerLetter"/>
      <w:lvlText w:val="%8."/>
      <w:lvlJc w:val="left"/>
      <w:pPr>
        <w:ind w:left="5472" w:hanging="360"/>
      </w:pPr>
    </w:lvl>
    <w:lvl w:ilvl="8" w:tplc="280A001B" w:tentative="1">
      <w:start w:val="1"/>
      <w:numFmt w:val="lowerRoman"/>
      <w:lvlText w:val="%9."/>
      <w:lvlJc w:val="right"/>
      <w:pPr>
        <w:ind w:left="6192" w:hanging="180"/>
      </w:pPr>
    </w:lvl>
  </w:abstractNum>
  <w:abstractNum w:abstractNumId="26" w15:restartNumberingAfterBreak="0">
    <w:nsid w:val="72D106CF"/>
    <w:multiLevelType w:val="hybridMultilevel"/>
    <w:tmpl w:val="B97EA4F6"/>
    <w:lvl w:ilvl="0" w:tplc="180A000F">
      <w:start w:val="1"/>
      <w:numFmt w:val="decimal"/>
      <w:lvlText w:val="%1."/>
      <w:lvlJc w:val="left"/>
      <w:pPr>
        <w:ind w:left="360" w:hanging="360"/>
      </w:pPr>
    </w:lvl>
    <w:lvl w:ilvl="1" w:tplc="180A0019" w:tentative="1">
      <w:start w:val="1"/>
      <w:numFmt w:val="lowerLetter"/>
      <w:lvlText w:val="%2."/>
      <w:lvlJc w:val="left"/>
      <w:pPr>
        <w:ind w:left="1080" w:hanging="360"/>
      </w:pPr>
    </w:lvl>
    <w:lvl w:ilvl="2" w:tplc="180A001B" w:tentative="1">
      <w:start w:val="1"/>
      <w:numFmt w:val="lowerRoman"/>
      <w:lvlText w:val="%3."/>
      <w:lvlJc w:val="right"/>
      <w:pPr>
        <w:ind w:left="1800" w:hanging="180"/>
      </w:pPr>
    </w:lvl>
    <w:lvl w:ilvl="3" w:tplc="180A000F" w:tentative="1">
      <w:start w:val="1"/>
      <w:numFmt w:val="decimal"/>
      <w:lvlText w:val="%4."/>
      <w:lvlJc w:val="left"/>
      <w:pPr>
        <w:ind w:left="2520" w:hanging="360"/>
      </w:pPr>
    </w:lvl>
    <w:lvl w:ilvl="4" w:tplc="180A0019" w:tentative="1">
      <w:start w:val="1"/>
      <w:numFmt w:val="lowerLetter"/>
      <w:lvlText w:val="%5."/>
      <w:lvlJc w:val="left"/>
      <w:pPr>
        <w:ind w:left="3240" w:hanging="360"/>
      </w:pPr>
    </w:lvl>
    <w:lvl w:ilvl="5" w:tplc="180A001B" w:tentative="1">
      <w:start w:val="1"/>
      <w:numFmt w:val="lowerRoman"/>
      <w:lvlText w:val="%6."/>
      <w:lvlJc w:val="right"/>
      <w:pPr>
        <w:ind w:left="3960" w:hanging="180"/>
      </w:pPr>
    </w:lvl>
    <w:lvl w:ilvl="6" w:tplc="180A000F" w:tentative="1">
      <w:start w:val="1"/>
      <w:numFmt w:val="decimal"/>
      <w:lvlText w:val="%7."/>
      <w:lvlJc w:val="left"/>
      <w:pPr>
        <w:ind w:left="4680" w:hanging="360"/>
      </w:pPr>
    </w:lvl>
    <w:lvl w:ilvl="7" w:tplc="180A0019" w:tentative="1">
      <w:start w:val="1"/>
      <w:numFmt w:val="lowerLetter"/>
      <w:lvlText w:val="%8."/>
      <w:lvlJc w:val="left"/>
      <w:pPr>
        <w:ind w:left="5400" w:hanging="360"/>
      </w:pPr>
    </w:lvl>
    <w:lvl w:ilvl="8" w:tplc="180A001B" w:tentative="1">
      <w:start w:val="1"/>
      <w:numFmt w:val="lowerRoman"/>
      <w:lvlText w:val="%9."/>
      <w:lvlJc w:val="right"/>
      <w:pPr>
        <w:ind w:left="6120" w:hanging="180"/>
      </w:pPr>
    </w:lvl>
  </w:abstractNum>
  <w:abstractNum w:abstractNumId="27" w15:restartNumberingAfterBreak="0">
    <w:nsid w:val="73554B26"/>
    <w:multiLevelType w:val="hybridMultilevel"/>
    <w:tmpl w:val="8D42A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5B8693D"/>
    <w:multiLevelType w:val="multilevel"/>
    <w:tmpl w:val="3AE029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19432790">
    <w:abstractNumId w:val="19"/>
  </w:num>
  <w:num w:numId="2" w16cid:durableId="716318259">
    <w:abstractNumId w:val="11"/>
  </w:num>
  <w:num w:numId="3" w16cid:durableId="803155794">
    <w:abstractNumId w:val="27"/>
  </w:num>
  <w:num w:numId="4" w16cid:durableId="39403613">
    <w:abstractNumId w:val="13"/>
  </w:num>
  <w:num w:numId="5" w16cid:durableId="841747556">
    <w:abstractNumId w:val="3"/>
  </w:num>
  <w:num w:numId="6" w16cid:durableId="296496066">
    <w:abstractNumId w:val="25"/>
  </w:num>
  <w:num w:numId="7" w16cid:durableId="1663460075">
    <w:abstractNumId w:val="14"/>
  </w:num>
  <w:num w:numId="8" w16cid:durableId="1213538558">
    <w:abstractNumId w:val="22"/>
  </w:num>
  <w:num w:numId="9" w16cid:durableId="1529903289">
    <w:abstractNumId w:val="10"/>
  </w:num>
  <w:num w:numId="10" w16cid:durableId="1725904055">
    <w:abstractNumId w:val="21"/>
  </w:num>
  <w:num w:numId="11" w16cid:durableId="1135416830">
    <w:abstractNumId w:val="18"/>
  </w:num>
  <w:num w:numId="12" w16cid:durableId="104546501">
    <w:abstractNumId w:val="17"/>
  </w:num>
  <w:num w:numId="13" w16cid:durableId="1504854291">
    <w:abstractNumId w:val="23"/>
  </w:num>
  <w:num w:numId="14" w16cid:durableId="691415806">
    <w:abstractNumId w:val="15"/>
  </w:num>
  <w:num w:numId="15" w16cid:durableId="1704012695">
    <w:abstractNumId w:val="16"/>
  </w:num>
  <w:num w:numId="16" w16cid:durableId="393165813">
    <w:abstractNumId w:val="0"/>
  </w:num>
  <w:num w:numId="17" w16cid:durableId="1315842575">
    <w:abstractNumId w:val="5"/>
  </w:num>
  <w:num w:numId="18" w16cid:durableId="62604254">
    <w:abstractNumId w:val="6"/>
  </w:num>
  <w:num w:numId="19" w16cid:durableId="525486553">
    <w:abstractNumId w:val="7"/>
  </w:num>
  <w:num w:numId="20" w16cid:durableId="2031250769">
    <w:abstractNumId w:val="28"/>
  </w:num>
  <w:num w:numId="21" w16cid:durableId="1511871258">
    <w:abstractNumId w:val="1"/>
  </w:num>
  <w:num w:numId="22" w16cid:durableId="60755860">
    <w:abstractNumId w:val="12"/>
  </w:num>
  <w:num w:numId="23" w16cid:durableId="1879972795">
    <w:abstractNumId w:val="8"/>
  </w:num>
  <w:num w:numId="24" w16cid:durableId="709648952">
    <w:abstractNumId w:val="20"/>
  </w:num>
  <w:num w:numId="25" w16cid:durableId="1969117662">
    <w:abstractNumId w:val="24"/>
  </w:num>
  <w:num w:numId="26" w16cid:durableId="1193225615">
    <w:abstractNumId w:val="2"/>
  </w:num>
  <w:num w:numId="27" w16cid:durableId="617220303">
    <w:abstractNumId w:val="26"/>
  </w:num>
  <w:num w:numId="28" w16cid:durableId="113598490">
    <w:abstractNumId w:val="4"/>
  </w:num>
  <w:num w:numId="29" w16cid:durableId="2106803613">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425"/>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BC7"/>
    <w:rsid w:val="000033F8"/>
    <w:rsid w:val="000042B4"/>
    <w:rsid w:val="00004EB2"/>
    <w:rsid w:val="000058EC"/>
    <w:rsid w:val="00012468"/>
    <w:rsid w:val="000313EE"/>
    <w:rsid w:val="0003682F"/>
    <w:rsid w:val="00047238"/>
    <w:rsid w:val="000531CE"/>
    <w:rsid w:val="000540BF"/>
    <w:rsid w:val="0005742B"/>
    <w:rsid w:val="000621F9"/>
    <w:rsid w:val="00066CC1"/>
    <w:rsid w:val="00067DF9"/>
    <w:rsid w:val="00073BC6"/>
    <w:rsid w:val="00073C79"/>
    <w:rsid w:val="00087D7F"/>
    <w:rsid w:val="000A23A3"/>
    <w:rsid w:val="000B7EB6"/>
    <w:rsid w:val="000D09A9"/>
    <w:rsid w:val="000D6037"/>
    <w:rsid w:val="000F184C"/>
    <w:rsid w:val="000F6D0C"/>
    <w:rsid w:val="000F79EF"/>
    <w:rsid w:val="00106565"/>
    <w:rsid w:val="0011536A"/>
    <w:rsid w:val="00122ACE"/>
    <w:rsid w:val="0012374E"/>
    <w:rsid w:val="001302BB"/>
    <w:rsid w:val="00132827"/>
    <w:rsid w:val="00136971"/>
    <w:rsid w:val="001566C7"/>
    <w:rsid w:val="001740E1"/>
    <w:rsid w:val="001808A0"/>
    <w:rsid w:val="00187DD2"/>
    <w:rsid w:val="00192C6A"/>
    <w:rsid w:val="001979CD"/>
    <w:rsid w:val="001A2908"/>
    <w:rsid w:val="001A30AA"/>
    <w:rsid w:val="001A5959"/>
    <w:rsid w:val="001B77B9"/>
    <w:rsid w:val="001D5104"/>
    <w:rsid w:val="001E0070"/>
    <w:rsid w:val="001E45DA"/>
    <w:rsid w:val="002124B6"/>
    <w:rsid w:val="00214328"/>
    <w:rsid w:val="002217EC"/>
    <w:rsid w:val="00234B31"/>
    <w:rsid w:val="002352E1"/>
    <w:rsid w:val="00240A23"/>
    <w:rsid w:val="0024625E"/>
    <w:rsid w:val="002505F1"/>
    <w:rsid w:val="002551F1"/>
    <w:rsid w:val="00261518"/>
    <w:rsid w:val="00270375"/>
    <w:rsid w:val="00273CA7"/>
    <w:rsid w:val="0027449C"/>
    <w:rsid w:val="002916CB"/>
    <w:rsid w:val="002A2F71"/>
    <w:rsid w:val="002A7260"/>
    <w:rsid w:val="002B10DB"/>
    <w:rsid w:val="002B7A3D"/>
    <w:rsid w:val="002C128F"/>
    <w:rsid w:val="002C17B1"/>
    <w:rsid w:val="002C2F44"/>
    <w:rsid w:val="002D4B0D"/>
    <w:rsid w:val="002E14E1"/>
    <w:rsid w:val="002F262D"/>
    <w:rsid w:val="002F26EE"/>
    <w:rsid w:val="002F5759"/>
    <w:rsid w:val="00302B0D"/>
    <w:rsid w:val="003038AF"/>
    <w:rsid w:val="00306D6A"/>
    <w:rsid w:val="0030708A"/>
    <w:rsid w:val="00333E40"/>
    <w:rsid w:val="00342AE7"/>
    <w:rsid w:val="0034598E"/>
    <w:rsid w:val="00372364"/>
    <w:rsid w:val="00380D58"/>
    <w:rsid w:val="0038100B"/>
    <w:rsid w:val="00382B5B"/>
    <w:rsid w:val="003871F3"/>
    <w:rsid w:val="0039191D"/>
    <w:rsid w:val="0039662C"/>
    <w:rsid w:val="003A00BF"/>
    <w:rsid w:val="003B36E4"/>
    <w:rsid w:val="003C070F"/>
    <w:rsid w:val="003D053B"/>
    <w:rsid w:val="003D7C1D"/>
    <w:rsid w:val="003E254C"/>
    <w:rsid w:val="004006F4"/>
    <w:rsid w:val="00402141"/>
    <w:rsid w:val="00404DA6"/>
    <w:rsid w:val="004056C7"/>
    <w:rsid w:val="00411A73"/>
    <w:rsid w:val="00420734"/>
    <w:rsid w:val="00427D1F"/>
    <w:rsid w:val="00430BB9"/>
    <w:rsid w:val="00433A0F"/>
    <w:rsid w:val="004404F5"/>
    <w:rsid w:val="00450FCF"/>
    <w:rsid w:val="004565C8"/>
    <w:rsid w:val="00457304"/>
    <w:rsid w:val="00461B63"/>
    <w:rsid w:val="004649A5"/>
    <w:rsid w:val="0047479B"/>
    <w:rsid w:val="004804FF"/>
    <w:rsid w:val="00485834"/>
    <w:rsid w:val="004954B2"/>
    <w:rsid w:val="00497312"/>
    <w:rsid w:val="004A0D47"/>
    <w:rsid w:val="004A6DB7"/>
    <w:rsid w:val="004B00CB"/>
    <w:rsid w:val="004B484F"/>
    <w:rsid w:val="004C18BD"/>
    <w:rsid w:val="004D0DC2"/>
    <w:rsid w:val="004D2277"/>
    <w:rsid w:val="004D2530"/>
    <w:rsid w:val="004D38BF"/>
    <w:rsid w:val="004E2E70"/>
    <w:rsid w:val="004F76C0"/>
    <w:rsid w:val="004F7A44"/>
    <w:rsid w:val="00504E82"/>
    <w:rsid w:val="005206C9"/>
    <w:rsid w:val="00537540"/>
    <w:rsid w:val="00547666"/>
    <w:rsid w:val="00553D37"/>
    <w:rsid w:val="00560047"/>
    <w:rsid w:val="00565589"/>
    <w:rsid w:val="005703A0"/>
    <w:rsid w:val="0057199E"/>
    <w:rsid w:val="00583753"/>
    <w:rsid w:val="005A4C13"/>
    <w:rsid w:val="005C6045"/>
    <w:rsid w:val="005D34C4"/>
    <w:rsid w:val="005D77CA"/>
    <w:rsid w:val="005E37E3"/>
    <w:rsid w:val="005F40A9"/>
    <w:rsid w:val="006077BA"/>
    <w:rsid w:val="0061284C"/>
    <w:rsid w:val="00614A10"/>
    <w:rsid w:val="00620FBF"/>
    <w:rsid w:val="00633E5D"/>
    <w:rsid w:val="0064708F"/>
    <w:rsid w:val="0065152B"/>
    <w:rsid w:val="0065220C"/>
    <w:rsid w:val="00656BA0"/>
    <w:rsid w:val="006803CA"/>
    <w:rsid w:val="006853A1"/>
    <w:rsid w:val="00697220"/>
    <w:rsid w:val="006A21B1"/>
    <w:rsid w:val="006A29CD"/>
    <w:rsid w:val="006A29D3"/>
    <w:rsid w:val="006A39C6"/>
    <w:rsid w:val="006B7394"/>
    <w:rsid w:val="006C11CE"/>
    <w:rsid w:val="006C3769"/>
    <w:rsid w:val="006D50F1"/>
    <w:rsid w:val="00701F5B"/>
    <w:rsid w:val="00704D46"/>
    <w:rsid w:val="00706DA9"/>
    <w:rsid w:val="00712383"/>
    <w:rsid w:val="00722D41"/>
    <w:rsid w:val="007257F3"/>
    <w:rsid w:val="00737B14"/>
    <w:rsid w:val="007409E0"/>
    <w:rsid w:val="00740AE4"/>
    <w:rsid w:val="007417E2"/>
    <w:rsid w:val="007434A3"/>
    <w:rsid w:val="00751A4D"/>
    <w:rsid w:val="00775EBD"/>
    <w:rsid w:val="00782896"/>
    <w:rsid w:val="007A29E4"/>
    <w:rsid w:val="007A4CEE"/>
    <w:rsid w:val="007C566D"/>
    <w:rsid w:val="007E587C"/>
    <w:rsid w:val="007F0D79"/>
    <w:rsid w:val="0080176C"/>
    <w:rsid w:val="00803535"/>
    <w:rsid w:val="0081026E"/>
    <w:rsid w:val="00810F5C"/>
    <w:rsid w:val="00814DED"/>
    <w:rsid w:val="00817B1E"/>
    <w:rsid w:val="00820101"/>
    <w:rsid w:val="00823164"/>
    <w:rsid w:val="00823BA2"/>
    <w:rsid w:val="00824BA7"/>
    <w:rsid w:val="0083746C"/>
    <w:rsid w:val="00837AA2"/>
    <w:rsid w:val="00846449"/>
    <w:rsid w:val="0085286C"/>
    <w:rsid w:val="008573B7"/>
    <w:rsid w:val="00861908"/>
    <w:rsid w:val="00863BC7"/>
    <w:rsid w:val="0086612E"/>
    <w:rsid w:val="00867A71"/>
    <w:rsid w:val="00871D62"/>
    <w:rsid w:val="00872B12"/>
    <w:rsid w:val="0087339C"/>
    <w:rsid w:val="0087703B"/>
    <w:rsid w:val="008A7DDD"/>
    <w:rsid w:val="008C10C1"/>
    <w:rsid w:val="008C1485"/>
    <w:rsid w:val="008C3DD7"/>
    <w:rsid w:val="008D5815"/>
    <w:rsid w:val="008D65C8"/>
    <w:rsid w:val="008E1B50"/>
    <w:rsid w:val="008E74FD"/>
    <w:rsid w:val="009011B8"/>
    <w:rsid w:val="00903DE9"/>
    <w:rsid w:val="00905C0B"/>
    <w:rsid w:val="00952D2A"/>
    <w:rsid w:val="00974EA8"/>
    <w:rsid w:val="00986F39"/>
    <w:rsid w:val="009929A6"/>
    <w:rsid w:val="00993759"/>
    <w:rsid w:val="00995506"/>
    <w:rsid w:val="009C05CA"/>
    <w:rsid w:val="009D21EB"/>
    <w:rsid w:val="009D3125"/>
    <w:rsid w:val="009E3CE0"/>
    <w:rsid w:val="009E4B42"/>
    <w:rsid w:val="009F4E5D"/>
    <w:rsid w:val="00A0586E"/>
    <w:rsid w:val="00A16984"/>
    <w:rsid w:val="00A71D7E"/>
    <w:rsid w:val="00A73046"/>
    <w:rsid w:val="00A75C0C"/>
    <w:rsid w:val="00A83FFF"/>
    <w:rsid w:val="00A84084"/>
    <w:rsid w:val="00A86631"/>
    <w:rsid w:val="00A92969"/>
    <w:rsid w:val="00A944A2"/>
    <w:rsid w:val="00A970CD"/>
    <w:rsid w:val="00AA7983"/>
    <w:rsid w:val="00AB24C3"/>
    <w:rsid w:val="00AB3C18"/>
    <w:rsid w:val="00AB53F1"/>
    <w:rsid w:val="00AB644C"/>
    <w:rsid w:val="00AB6846"/>
    <w:rsid w:val="00AB6D31"/>
    <w:rsid w:val="00AB7315"/>
    <w:rsid w:val="00AC4C0F"/>
    <w:rsid w:val="00AE0061"/>
    <w:rsid w:val="00AE2631"/>
    <w:rsid w:val="00AE4FDE"/>
    <w:rsid w:val="00AE550C"/>
    <w:rsid w:val="00AE7E60"/>
    <w:rsid w:val="00AF4CCF"/>
    <w:rsid w:val="00B12360"/>
    <w:rsid w:val="00B162D0"/>
    <w:rsid w:val="00B25137"/>
    <w:rsid w:val="00B27E06"/>
    <w:rsid w:val="00B32DA6"/>
    <w:rsid w:val="00B46644"/>
    <w:rsid w:val="00B60FCA"/>
    <w:rsid w:val="00B67563"/>
    <w:rsid w:val="00B72DC1"/>
    <w:rsid w:val="00B87F78"/>
    <w:rsid w:val="00BA132A"/>
    <w:rsid w:val="00BA4D89"/>
    <w:rsid w:val="00BB6474"/>
    <w:rsid w:val="00BC0005"/>
    <w:rsid w:val="00BC2858"/>
    <w:rsid w:val="00BC51B4"/>
    <w:rsid w:val="00BD1BEC"/>
    <w:rsid w:val="00BD1F74"/>
    <w:rsid w:val="00BF20AD"/>
    <w:rsid w:val="00BF3E83"/>
    <w:rsid w:val="00BF7C1B"/>
    <w:rsid w:val="00C04546"/>
    <w:rsid w:val="00C17802"/>
    <w:rsid w:val="00C21E89"/>
    <w:rsid w:val="00C43CDD"/>
    <w:rsid w:val="00C56F97"/>
    <w:rsid w:val="00C732BA"/>
    <w:rsid w:val="00C73669"/>
    <w:rsid w:val="00C77E79"/>
    <w:rsid w:val="00C84A88"/>
    <w:rsid w:val="00C84E67"/>
    <w:rsid w:val="00CA327E"/>
    <w:rsid w:val="00CA3D94"/>
    <w:rsid w:val="00CA5D33"/>
    <w:rsid w:val="00CA76A2"/>
    <w:rsid w:val="00CC4071"/>
    <w:rsid w:val="00CD017D"/>
    <w:rsid w:val="00CD26A4"/>
    <w:rsid w:val="00CD340B"/>
    <w:rsid w:val="00CE1066"/>
    <w:rsid w:val="00CF1589"/>
    <w:rsid w:val="00D04F2D"/>
    <w:rsid w:val="00D05092"/>
    <w:rsid w:val="00D06BD2"/>
    <w:rsid w:val="00D21C60"/>
    <w:rsid w:val="00D23FAF"/>
    <w:rsid w:val="00D3181B"/>
    <w:rsid w:val="00D45CB2"/>
    <w:rsid w:val="00D57AF0"/>
    <w:rsid w:val="00D7109F"/>
    <w:rsid w:val="00D7685D"/>
    <w:rsid w:val="00D77318"/>
    <w:rsid w:val="00D800FD"/>
    <w:rsid w:val="00D83752"/>
    <w:rsid w:val="00D84A1C"/>
    <w:rsid w:val="00D90EEB"/>
    <w:rsid w:val="00DA27A7"/>
    <w:rsid w:val="00DA444F"/>
    <w:rsid w:val="00DA4A0A"/>
    <w:rsid w:val="00DB295C"/>
    <w:rsid w:val="00DB71A6"/>
    <w:rsid w:val="00DC02F0"/>
    <w:rsid w:val="00DC0782"/>
    <w:rsid w:val="00DC331A"/>
    <w:rsid w:val="00DC71CA"/>
    <w:rsid w:val="00DD1E50"/>
    <w:rsid w:val="00DD38E0"/>
    <w:rsid w:val="00DD58CB"/>
    <w:rsid w:val="00DE441C"/>
    <w:rsid w:val="00DE46E2"/>
    <w:rsid w:val="00DE54BF"/>
    <w:rsid w:val="00E03674"/>
    <w:rsid w:val="00E03857"/>
    <w:rsid w:val="00E12533"/>
    <w:rsid w:val="00E2670E"/>
    <w:rsid w:val="00E26A65"/>
    <w:rsid w:val="00E31686"/>
    <w:rsid w:val="00E465A1"/>
    <w:rsid w:val="00E465DC"/>
    <w:rsid w:val="00E67D03"/>
    <w:rsid w:val="00E72BEB"/>
    <w:rsid w:val="00E743D7"/>
    <w:rsid w:val="00E835DF"/>
    <w:rsid w:val="00EA55E4"/>
    <w:rsid w:val="00EA6CC1"/>
    <w:rsid w:val="00ED11CC"/>
    <w:rsid w:val="00ED60B7"/>
    <w:rsid w:val="00EE2BA0"/>
    <w:rsid w:val="00EE53DC"/>
    <w:rsid w:val="00EF016D"/>
    <w:rsid w:val="00EF4AEE"/>
    <w:rsid w:val="00F04768"/>
    <w:rsid w:val="00F0795D"/>
    <w:rsid w:val="00F117D2"/>
    <w:rsid w:val="00F11E08"/>
    <w:rsid w:val="00F14F0F"/>
    <w:rsid w:val="00F21618"/>
    <w:rsid w:val="00F23569"/>
    <w:rsid w:val="00F51BC9"/>
    <w:rsid w:val="00F678BA"/>
    <w:rsid w:val="00F90BBD"/>
    <w:rsid w:val="00F91CC7"/>
    <w:rsid w:val="00F961C2"/>
    <w:rsid w:val="00F96B94"/>
    <w:rsid w:val="00FA2835"/>
    <w:rsid w:val="00FA4B71"/>
    <w:rsid w:val="00FC0EDF"/>
    <w:rsid w:val="00FC7A92"/>
    <w:rsid w:val="00FD1276"/>
    <w:rsid w:val="00FD6864"/>
    <w:rsid w:val="00FE4292"/>
    <w:rsid w:val="00FF24FE"/>
    <w:rsid w:val="00FF3B1C"/>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72083"/>
  <w15:chartTrackingRefBased/>
  <w15:docId w15:val="{477FBA39-0AD3-4A6C-8516-1953072D6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971"/>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863BC7"/>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Ttulo2">
    <w:name w:val="heading 2"/>
    <w:basedOn w:val="Normal"/>
    <w:next w:val="Normal"/>
    <w:link w:val="Ttulo2Car"/>
    <w:uiPriority w:val="9"/>
    <w:unhideWhenUsed/>
    <w:qFormat/>
    <w:rsid w:val="00863BC7"/>
    <w:pPr>
      <w:keepNext/>
      <w:keepLines/>
      <w:spacing w:before="200" w:line="259" w:lineRule="auto"/>
      <w:outlineLvl w:val="1"/>
    </w:pPr>
    <w:rPr>
      <w:rFonts w:asciiTheme="majorHAnsi" w:eastAsiaTheme="majorEastAsia" w:hAnsiTheme="majorHAnsi" w:cstheme="majorBidi"/>
      <w:b/>
      <w:bCs/>
      <w:color w:val="5B9BD5" w:themeColor="accent1"/>
      <w:sz w:val="26"/>
      <w:szCs w:val="26"/>
      <w:lang w:eastAsia="en-US"/>
    </w:rPr>
  </w:style>
  <w:style w:type="paragraph" w:styleId="Ttulo3">
    <w:name w:val="heading 3"/>
    <w:basedOn w:val="Normal"/>
    <w:next w:val="Normal"/>
    <w:link w:val="Ttulo3Car"/>
    <w:uiPriority w:val="9"/>
    <w:unhideWhenUsed/>
    <w:qFormat/>
    <w:rsid w:val="00863BC7"/>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paragraph" w:styleId="Ttulo4">
    <w:name w:val="heading 4"/>
    <w:basedOn w:val="Normal"/>
    <w:next w:val="Normal"/>
    <w:link w:val="Ttulo4Car"/>
    <w:uiPriority w:val="9"/>
    <w:unhideWhenUsed/>
    <w:qFormat/>
    <w:rsid w:val="00863BC7"/>
    <w:pPr>
      <w:keepNext/>
      <w:keepLines/>
      <w:spacing w:before="40" w:line="259" w:lineRule="auto"/>
      <w:outlineLvl w:val="3"/>
    </w:pPr>
    <w:rPr>
      <w:rFonts w:asciiTheme="majorHAnsi" w:eastAsiaTheme="majorEastAsia" w:hAnsiTheme="majorHAnsi" w:cstheme="majorBidi"/>
      <w:i/>
      <w:iCs/>
      <w:color w:val="2E74B5" w:themeColor="accent1" w:themeShade="BF"/>
      <w:sz w:val="22"/>
      <w:szCs w:val="22"/>
      <w:lang w:eastAsia="en-US"/>
    </w:rPr>
  </w:style>
  <w:style w:type="paragraph" w:styleId="Ttulo5">
    <w:name w:val="heading 5"/>
    <w:basedOn w:val="Normal"/>
    <w:next w:val="Normal"/>
    <w:link w:val="Ttulo5Car"/>
    <w:uiPriority w:val="9"/>
    <w:unhideWhenUsed/>
    <w:qFormat/>
    <w:rsid w:val="00E465DC"/>
    <w:pPr>
      <w:keepNext/>
      <w:keepLines/>
      <w:spacing w:before="40" w:line="259" w:lineRule="auto"/>
      <w:outlineLvl w:val="4"/>
    </w:pPr>
    <w:rPr>
      <w:rFonts w:asciiTheme="majorHAnsi" w:eastAsiaTheme="majorEastAsia" w:hAnsiTheme="majorHAnsi" w:cstheme="majorBidi"/>
      <w:color w:val="2E74B5" w:themeColor="accent1" w:themeShade="BF"/>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BC7"/>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863BC7"/>
    <w:rPr>
      <w:rFonts w:asciiTheme="majorHAnsi" w:eastAsiaTheme="majorEastAsia" w:hAnsiTheme="majorHAnsi" w:cstheme="majorBidi"/>
      <w:b/>
      <w:bCs/>
      <w:color w:val="5B9BD5" w:themeColor="accent1"/>
      <w:sz w:val="26"/>
      <w:szCs w:val="26"/>
    </w:rPr>
  </w:style>
  <w:style w:type="character" w:customStyle="1" w:styleId="Ttulo3Car">
    <w:name w:val="Título 3 Car"/>
    <w:basedOn w:val="Fuentedeprrafopredeter"/>
    <w:link w:val="Ttulo3"/>
    <w:uiPriority w:val="9"/>
    <w:rsid w:val="00863BC7"/>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rsid w:val="00863BC7"/>
    <w:rPr>
      <w:rFonts w:asciiTheme="majorHAnsi" w:eastAsiaTheme="majorEastAsia" w:hAnsiTheme="majorHAnsi" w:cstheme="majorBidi"/>
      <w:i/>
      <w:iCs/>
      <w:color w:val="2E74B5" w:themeColor="accent1" w:themeShade="BF"/>
    </w:rPr>
  </w:style>
  <w:style w:type="character" w:customStyle="1" w:styleId="TextocomentarioCar">
    <w:name w:val="Texto comentario Car"/>
    <w:basedOn w:val="Fuentedeprrafopredeter"/>
    <w:link w:val="Textocomentario"/>
    <w:uiPriority w:val="99"/>
    <w:semiHidden/>
    <w:rsid w:val="00863BC7"/>
    <w:rPr>
      <w:sz w:val="20"/>
      <w:szCs w:val="20"/>
    </w:rPr>
  </w:style>
  <w:style w:type="paragraph" w:styleId="Textocomentario">
    <w:name w:val="annotation text"/>
    <w:basedOn w:val="Normal"/>
    <w:link w:val="TextocomentarioCar"/>
    <w:uiPriority w:val="99"/>
    <w:semiHidden/>
    <w:unhideWhenUsed/>
    <w:rsid w:val="00863BC7"/>
    <w:pPr>
      <w:spacing w:after="160"/>
    </w:pPr>
    <w:rPr>
      <w:rFonts w:asciiTheme="minorHAnsi" w:eastAsiaTheme="minorHAnsi" w:hAnsiTheme="minorHAnsi" w:cstheme="minorBidi"/>
      <w:sz w:val="20"/>
      <w:szCs w:val="20"/>
      <w:lang w:eastAsia="en-US"/>
    </w:rPr>
  </w:style>
  <w:style w:type="character" w:customStyle="1" w:styleId="AsuntodelcomentarioCar">
    <w:name w:val="Asunto del comentario Car"/>
    <w:basedOn w:val="TextocomentarioCar"/>
    <w:link w:val="Asuntodelcomentario"/>
    <w:uiPriority w:val="99"/>
    <w:semiHidden/>
    <w:rsid w:val="00863BC7"/>
    <w:rPr>
      <w:b/>
      <w:bCs/>
      <w:sz w:val="20"/>
      <w:szCs w:val="20"/>
    </w:rPr>
  </w:style>
  <w:style w:type="paragraph" w:styleId="Asuntodelcomentario">
    <w:name w:val="annotation subject"/>
    <w:basedOn w:val="Textocomentario"/>
    <w:next w:val="Textocomentario"/>
    <w:link w:val="AsuntodelcomentarioCar"/>
    <w:uiPriority w:val="99"/>
    <w:semiHidden/>
    <w:unhideWhenUsed/>
    <w:rsid w:val="00863BC7"/>
    <w:rPr>
      <w:b/>
      <w:bCs/>
    </w:rPr>
  </w:style>
  <w:style w:type="character" w:customStyle="1" w:styleId="TextodegloboCar">
    <w:name w:val="Texto de globo Car"/>
    <w:basedOn w:val="Fuentedeprrafopredeter"/>
    <w:link w:val="Textodeglobo"/>
    <w:uiPriority w:val="99"/>
    <w:semiHidden/>
    <w:rsid w:val="00863BC7"/>
    <w:rPr>
      <w:rFonts w:ascii="Segoe UI" w:hAnsi="Segoe UI" w:cs="Segoe UI"/>
      <w:sz w:val="18"/>
      <w:szCs w:val="18"/>
    </w:rPr>
  </w:style>
  <w:style w:type="paragraph" w:styleId="Textodeglobo">
    <w:name w:val="Balloon Text"/>
    <w:basedOn w:val="Normal"/>
    <w:link w:val="TextodegloboCar"/>
    <w:uiPriority w:val="99"/>
    <w:semiHidden/>
    <w:unhideWhenUsed/>
    <w:rsid w:val="00863BC7"/>
    <w:rPr>
      <w:rFonts w:ascii="Segoe UI" w:eastAsiaTheme="minorHAnsi" w:hAnsi="Segoe UI" w:cs="Segoe UI"/>
      <w:sz w:val="18"/>
      <w:szCs w:val="18"/>
      <w:lang w:eastAsia="en-US"/>
    </w:rPr>
  </w:style>
  <w:style w:type="paragraph" w:styleId="Encabezado">
    <w:name w:val="header"/>
    <w:basedOn w:val="Normal"/>
    <w:link w:val="EncabezadoCar"/>
    <w:uiPriority w:val="99"/>
    <w:unhideWhenUsed/>
    <w:rsid w:val="00863BC7"/>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863BC7"/>
  </w:style>
  <w:style w:type="paragraph" w:styleId="Piedepgina">
    <w:name w:val="footer"/>
    <w:basedOn w:val="Normal"/>
    <w:link w:val="PiedepginaCar"/>
    <w:uiPriority w:val="99"/>
    <w:unhideWhenUsed/>
    <w:rsid w:val="00863BC7"/>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863BC7"/>
  </w:style>
  <w:style w:type="paragraph" w:customStyle="1" w:styleId="Default">
    <w:name w:val="Default"/>
    <w:rsid w:val="00863BC7"/>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TtuloTDC">
    <w:name w:val="TOC Heading"/>
    <w:basedOn w:val="Ttulo1"/>
    <w:next w:val="Normal"/>
    <w:uiPriority w:val="39"/>
    <w:unhideWhenUsed/>
    <w:qFormat/>
    <w:rsid w:val="00863BC7"/>
    <w:pPr>
      <w:spacing w:before="480" w:line="276" w:lineRule="auto"/>
      <w:outlineLvl w:val="9"/>
    </w:pPr>
    <w:rPr>
      <w:b/>
      <w:bCs/>
      <w:sz w:val="28"/>
      <w:szCs w:val="28"/>
      <w:lang w:val="es-ES"/>
    </w:rPr>
  </w:style>
  <w:style w:type="paragraph" w:styleId="TDC1">
    <w:name w:val="toc 1"/>
    <w:basedOn w:val="Normal"/>
    <w:next w:val="Normal"/>
    <w:autoRedefine/>
    <w:uiPriority w:val="39"/>
    <w:unhideWhenUsed/>
    <w:rsid w:val="00863BC7"/>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863BC7"/>
    <w:pPr>
      <w:spacing w:after="100" w:line="259" w:lineRule="auto"/>
      <w:ind w:left="220"/>
    </w:pPr>
    <w:rPr>
      <w:rFonts w:asciiTheme="minorHAnsi" w:eastAsiaTheme="minorHAnsi" w:hAnsiTheme="minorHAnsi" w:cstheme="minorBidi"/>
      <w:sz w:val="22"/>
      <w:szCs w:val="22"/>
      <w:lang w:eastAsia="en-US"/>
    </w:rPr>
  </w:style>
  <w:style w:type="character" w:styleId="Hipervnculo">
    <w:name w:val="Hyperlink"/>
    <w:basedOn w:val="Fuentedeprrafopredeter"/>
    <w:uiPriority w:val="99"/>
    <w:unhideWhenUsed/>
    <w:rsid w:val="00863BC7"/>
    <w:rPr>
      <w:color w:val="0563C1" w:themeColor="hyperlink"/>
      <w:u w:val="single"/>
    </w:rPr>
  </w:style>
  <w:style w:type="paragraph" w:styleId="Prrafodelista">
    <w:name w:val="List Paragraph"/>
    <w:aliases w:val="figuras cap 5,TITULOS PRINCIPALES,Fundamentacion,Lista vistosa - Énfasis 11,Bulleted List,Lista media 2 - Énfasis 41,List Paragraph,SubPárrafo de lista,Cita Pie de Página,titulo,coar"/>
    <w:basedOn w:val="Normal"/>
    <w:link w:val="PrrafodelistaCar"/>
    <w:uiPriority w:val="34"/>
    <w:qFormat/>
    <w:rsid w:val="00863BC7"/>
    <w:pPr>
      <w:spacing w:after="160" w:line="259" w:lineRule="auto"/>
      <w:ind w:left="720"/>
      <w:contextualSpacing/>
    </w:pPr>
    <w:rPr>
      <w:rFonts w:asciiTheme="minorHAnsi" w:eastAsiaTheme="minorHAnsi" w:hAnsiTheme="minorHAnsi" w:cstheme="minorBidi"/>
      <w:sz w:val="22"/>
      <w:szCs w:val="22"/>
      <w:lang w:eastAsia="en-US"/>
    </w:rPr>
  </w:style>
  <w:style w:type="paragraph" w:styleId="Ttulo">
    <w:name w:val="Title"/>
    <w:basedOn w:val="Normal"/>
    <w:next w:val="Normal"/>
    <w:link w:val="TtuloCar"/>
    <w:uiPriority w:val="10"/>
    <w:qFormat/>
    <w:rsid w:val="00863BC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TtuloCar">
    <w:name w:val="Título Car"/>
    <w:basedOn w:val="Fuentedeprrafopredeter"/>
    <w:link w:val="Ttulo"/>
    <w:uiPriority w:val="10"/>
    <w:rsid w:val="00863BC7"/>
    <w:rPr>
      <w:rFonts w:asciiTheme="majorHAnsi" w:eastAsiaTheme="majorEastAsia" w:hAnsiTheme="majorHAnsi" w:cstheme="majorBidi"/>
      <w:color w:val="323E4F" w:themeColor="text2" w:themeShade="BF"/>
      <w:spacing w:val="5"/>
      <w:kern w:val="28"/>
      <w:sz w:val="52"/>
      <w:szCs w:val="52"/>
    </w:rPr>
  </w:style>
  <w:style w:type="paragraph" w:styleId="Sinespaciado">
    <w:name w:val="No Spacing"/>
    <w:link w:val="SinespaciadoCar"/>
    <w:uiPriority w:val="1"/>
    <w:qFormat/>
    <w:rsid w:val="00863BC7"/>
    <w:pPr>
      <w:spacing w:after="0" w:line="240" w:lineRule="auto"/>
    </w:pPr>
    <w:rPr>
      <w:lang w:val="en-US"/>
    </w:rPr>
  </w:style>
  <w:style w:type="paragraph" w:styleId="Textonotapie">
    <w:name w:val="footnote text"/>
    <w:basedOn w:val="Normal"/>
    <w:link w:val="TextonotapieCar"/>
    <w:unhideWhenUsed/>
    <w:rsid w:val="00863BC7"/>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rsid w:val="00863BC7"/>
    <w:rPr>
      <w:sz w:val="20"/>
      <w:szCs w:val="20"/>
    </w:rPr>
  </w:style>
  <w:style w:type="character" w:styleId="Refdenotaalpie">
    <w:name w:val="footnote reference"/>
    <w:basedOn w:val="Fuentedeprrafopredeter"/>
    <w:semiHidden/>
    <w:unhideWhenUsed/>
    <w:rsid w:val="00863BC7"/>
    <w:rPr>
      <w:vertAlign w:val="superscript"/>
    </w:rPr>
  </w:style>
  <w:style w:type="character" w:customStyle="1" w:styleId="apple-converted-space">
    <w:name w:val="apple-converted-space"/>
    <w:basedOn w:val="Fuentedeprrafopredeter"/>
    <w:rsid w:val="00863BC7"/>
  </w:style>
  <w:style w:type="character" w:styleId="Fuerte">
    <w:name w:val="Strong"/>
    <w:basedOn w:val="Fuentedeprrafopredeter"/>
    <w:uiPriority w:val="22"/>
    <w:qFormat/>
    <w:rsid w:val="00863BC7"/>
    <w:rPr>
      <w:b/>
      <w:bCs/>
    </w:rPr>
  </w:style>
  <w:style w:type="paragraph" w:styleId="Bibliografa">
    <w:name w:val="Bibliography"/>
    <w:basedOn w:val="Normal"/>
    <w:next w:val="Normal"/>
    <w:uiPriority w:val="37"/>
    <w:unhideWhenUsed/>
    <w:rsid w:val="00863BC7"/>
    <w:pPr>
      <w:spacing w:after="160" w:line="259" w:lineRule="auto"/>
    </w:pPr>
    <w:rPr>
      <w:rFonts w:asciiTheme="minorHAnsi" w:eastAsiaTheme="minorHAnsi" w:hAnsiTheme="minorHAnsi" w:cstheme="minorBidi"/>
      <w:sz w:val="22"/>
      <w:szCs w:val="22"/>
      <w:lang w:eastAsia="en-US"/>
    </w:rPr>
  </w:style>
  <w:style w:type="character" w:customStyle="1" w:styleId="MapadeldocumentoCar">
    <w:name w:val="Mapa del documento Car"/>
    <w:basedOn w:val="Fuentedeprrafopredeter"/>
    <w:link w:val="Mapadeldocumento"/>
    <w:uiPriority w:val="99"/>
    <w:semiHidden/>
    <w:rsid w:val="00863BC7"/>
    <w:rPr>
      <w:rFonts w:ascii="Tahoma" w:hAnsi="Tahoma" w:cs="Tahoma"/>
      <w:sz w:val="16"/>
      <w:szCs w:val="16"/>
    </w:rPr>
  </w:style>
  <w:style w:type="paragraph" w:styleId="Mapadeldocumento">
    <w:name w:val="Document Map"/>
    <w:basedOn w:val="Normal"/>
    <w:link w:val="MapadeldocumentoCar"/>
    <w:uiPriority w:val="99"/>
    <w:semiHidden/>
    <w:unhideWhenUsed/>
    <w:rsid w:val="00863BC7"/>
    <w:rPr>
      <w:rFonts w:ascii="Tahoma" w:eastAsiaTheme="minorHAnsi" w:hAnsi="Tahoma" w:cs="Tahoma"/>
      <w:sz w:val="16"/>
      <w:szCs w:val="16"/>
      <w:lang w:eastAsia="en-US"/>
    </w:rPr>
  </w:style>
  <w:style w:type="paragraph" w:styleId="TDC3">
    <w:name w:val="toc 3"/>
    <w:basedOn w:val="Normal"/>
    <w:next w:val="Normal"/>
    <w:autoRedefine/>
    <w:uiPriority w:val="39"/>
    <w:unhideWhenUsed/>
    <w:rsid w:val="00863BC7"/>
    <w:pPr>
      <w:spacing w:after="100" w:line="259" w:lineRule="auto"/>
      <w:ind w:left="440"/>
    </w:pPr>
    <w:rPr>
      <w:rFonts w:asciiTheme="minorHAnsi" w:eastAsiaTheme="minorHAnsi" w:hAnsiTheme="minorHAnsi" w:cstheme="minorBidi"/>
      <w:sz w:val="22"/>
      <w:szCs w:val="22"/>
      <w:lang w:eastAsia="en-US"/>
    </w:rPr>
  </w:style>
  <w:style w:type="paragraph" w:styleId="Descripcin">
    <w:name w:val="caption"/>
    <w:basedOn w:val="Normal"/>
    <w:next w:val="Normal"/>
    <w:uiPriority w:val="35"/>
    <w:unhideWhenUsed/>
    <w:qFormat/>
    <w:rsid w:val="00863BC7"/>
    <w:pPr>
      <w:spacing w:after="200"/>
    </w:pPr>
    <w:rPr>
      <w:rFonts w:asciiTheme="minorHAnsi" w:eastAsiaTheme="minorHAnsi" w:hAnsiTheme="minorHAnsi" w:cstheme="minorBidi"/>
      <w:i/>
      <w:iCs/>
      <w:color w:val="44546A" w:themeColor="text2"/>
      <w:sz w:val="18"/>
      <w:szCs w:val="18"/>
      <w:lang w:eastAsia="en-US"/>
    </w:rPr>
  </w:style>
  <w:style w:type="character" w:customStyle="1" w:styleId="apple-style-span">
    <w:name w:val="apple-style-span"/>
    <w:basedOn w:val="Fuentedeprrafopredeter"/>
    <w:rsid w:val="00863BC7"/>
  </w:style>
  <w:style w:type="paragraph" w:styleId="Tabladeilustraciones">
    <w:name w:val="table of figures"/>
    <w:basedOn w:val="Normal"/>
    <w:next w:val="Normal"/>
    <w:uiPriority w:val="99"/>
    <w:unhideWhenUsed/>
    <w:rsid w:val="00863BC7"/>
    <w:pPr>
      <w:spacing w:line="259" w:lineRule="auto"/>
    </w:pPr>
    <w:rPr>
      <w:rFonts w:asciiTheme="minorHAnsi" w:eastAsiaTheme="minorHAnsi" w:hAnsiTheme="minorHAnsi" w:cstheme="minorBidi"/>
      <w:sz w:val="22"/>
      <w:szCs w:val="22"/>
      <w:lang w:eastAsia="en-US"/>
    </w:rPr>
  </w:style>
  <w:style w:type="table" w:customStyle="1" w:styleId="Tabladecuadrcula5oscura-nfasis31">
    <w:name w:val="Tabla de cuadrícula 5 oscura - Énfasis 31"/>
    <w:basedOn w:val="Tablanormal"/>
    <w:uiPriority w:val="50"/>
    <w:rsid w:val="00863BC7"/>
    <w:pPr>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TDC4">
    <w:name w:val="toc 4"/>
    <w:basedOn w:val="Normal"/>
    <w:next w:val="Normal"/>
    <w:autoRedefine/>
    <w:uiPriority w:val="39"/>
    <w:unhideWhenUsed/>
    <w:rsid w:val="00863BC7"/>
    <w:pPr>
      <w:spacing w:after="100" w:line="276" w:lineRule="auto"/>
      <w:ind w:left="660"/>
    </w:pPr>
    <w:rPr>
      <w:rFonts w:asciiTheme="minorHAnsi" w:eastAsiaTheme="minorEastAsia" w:hAnsiTheme="minorHAnsi" w:cstheme="minorBidi"/>
      <w:sz w:val="22"/>
      <w:szCs w:val="22"/>
      <w:lang w:eastAsia="es-EC"/>
    </w:rPr>
  </w:style>
  <w:style w:type="paragraph" w:styleId="TDC5">
    <w:name w:val="toc 5"/>
    <w:basedOn w:val="Normal"/>
    <w:next w:val="Normal"/>
    <w:autoRedefine/>
    <w:uiPriority w:val="39"/>
    <w:unhideWhenUsed/>
    <w:rsid w:val="00863BC7"/>
    <w:pPr>
      <w:spacing w:after="100" w:line="276" w:lineRule="auto"/>
      <w:ind w:left="880"/>
    </w:pPr>
    <w:rPr>
      <w:rFonts w:asciiTheme="minorHAnsi" w:eastAsiaTheme="minorEastAsia" w:hAnsiTheme="minorHAnsi" w:cstheme="minorBidi"/>
      <w:sz w:val="22"/>
      <w:szCs w:val="22"/>
      <w:lang w:eastAsia="es-EC"/>
    </w:rPr>
  </w:style>
  <w:style w:type="paragraph" w:styleId="TDC6">
    <w:name w:val="toc 6"/>
    <w:basedOn w:val="Normal"/>
    <w:next w:val="Normal"/>
    <w:autoRedefine/>
    <w:uiPriority w:val="39"/>
    <w:unhideWhenUsed/>
    <w:rsid w:val="00863BC7"/>
    <w:pPr>
      <w:spacing w:after="100" w:line="276" w:lineRule="auto"/>
      <w:ind w:left="1100"/>
    </w:pPr>
    <w:rPr>
      <w:rFonts w:asciiTheme="minorHAnsi" w:eastAsiaTheme="minorEastAsia" w:hAnsiTheme="minorHAnsi" w:cstheme="minorBidi"/>
      <w:sz w:val="22"/>
      <w:szCs w:val="22"/>
      <w:lang w:eastAsia="es-EC"/>
    </w:rPr>
  </w:style>
  <w:style w:type="paragraph" w:styleId="TDC7">
    <w:name w:val="toc 7"/>
    <w:basedOn w:val="Normal"/>
    <w:next w:val="Normal"/>
    <w:autoRedefine/>
    <w:uiPriority w:val="39"/>
    <w:unhideWhenUsed/>
    <w:rsid w:val="00863BC7"/>
    <w:pPr>
      <w:spacing w:after="100" w:line="276" w:lineRule="auto"/>
      <w:ind w:left="1320"/>
    </w:pPr>
    <w:rPr>
      <w:rFonts w:asciiTheme="minorHAnsi" w:eastAsiaTheme="minorEastAsia" w:hAnsiTheme="minorHAnsi" w:cstheme="minorBidi"/>
      <w:sz w:val="22"/>
      <w:szCs w:val="22"/>
      <w:lang w:eastAsia="es-EC"/>
    </w:rPr>
  </w:style>
  <w:style w:type="paragraph" w:styleId="TDC8">
    <w:name w:val="toc 8"/>
    <w:basedOn w:val="Normal"/>
    <w:next w:val="Normal"/>
    <w:autoRedefine/>
    <w:uiPriority w:val="39"/>
    <w:unhideWhenUsed/>
    <w:rsid w:val="00863BC7"/>
    <w:pPr>
      <w:spacing w:after="100" w:line="276" w:lineRule="auto"/>
      <w:ind w:left="1540"/>
    </w:pPr>
    <w:rPr>
      <w:rFonts w:asciiTheme="minorHAnsi" w:eastAsiaTheme="minorEastAsia" w:hAnsiTheme="minorHAnsi" w:cstheme="minorBidi"/>
      <w:sz w:val="22"/>
      <w:szCs w:val="22"/>
      <w:lang w:eastAsia="es-EC"/>
    </w:rPr>
  </w:style>
  <w:style w:type="paragraph" w:styleId="TDC9">
    <w:name w:val="toc 9"/>
    <w:basedOn w:val="Normal"/>
    <w:next w:val="Normal"/>
    <w:autoRedefine/>
    <w:uiPriority w:val="39"/>
    <w:unhideWhenUsed/>
    <w:rsid w:val="00863BC7"/>
    <w:pPr>
      <w:spacing w:after="100" w:line="276" w:lineRule="auto"/>
      <w:ind w:left="1760"/>
    </w:pPr>
    <w:rPr>
      <w:rFonts w:asciiTheme="minorHAnsi" w:eastAsiaTheme="minorEastAsia" w:hAnsiTheme="minorHAnsi" w:cstheme="minorBidi"/>
      <w:sz w:val="22"/>
      <w:szCs w:val="22"/>
      <w:lang w:eastAsia="es-EC"/>
    </w:rPr>
  </w:style>
  <w:style w:type="paragraph" w:styleId="NormalWeb">
    <w:name w:val="Normal (Web)"/>
    <w:basedOn w:val="Normal"/>
    <w:uiPriority w:val="99"/>
    <w:unhideWhenUsed/>
    <w:rsid w:val="00C84A88"/>
    <w:pPr>
      <w:spacing w:before="100" w:beforeAutospacing="1" w:after="100" w:afterAutospacing="1"/>
    </w:pPr>
    <w:rPr>
      <w:lang w:eastAsia="es-EC"/>
    </w:rPr>
  </w:style>
  <w:style w:type="character" w:styleId="Mencinsinresolver">
    <w:name w:val="Unresolved Mention"/>
    <w:basedOn w:val="Fuentedeprrafopredeter"/>
    <w:uiPriority w:val="99"/>
    <w:semiHidden/>
    <w:unhideWhenUsed/>
    <w:rsid w:val="004649A5"/>
    <w:rPr>
      <w:color w:val="605E5C"/>
      <w:shd w:val="clear" w:color="auto" w:fill="E1DFDD"/>
    </w:rPr>
  </w:style>
  <w:style w:type="paragraph" w:styleId="HTMLconformatoprevio">
    <w:name w:val="HTML Preformatted"/>
    <w:basedOn w:val="Normal"/>
    <w:link w:val="HTMLconformatoprevioCar"/>
    <w:uiPriority w:val="99"/>
    <w:semiHidden/>
    <w:unhideWhenUsed/>
    <w:rsid w:val="00464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4649A5"/>
    <w:rPr>
      <w:rFonts w:ascii="Courier New" w:eastAsia="Times New Roman" w:hAnsi="Courier New" w:cs="Courier New"/>
      <w:sz w:val="20"/>
      <w:szCs w:val="20"/>
      <w:lang w:eastAsia="es-ES_tradnl"/>
    </w:rPr>
  </w:style>
  <w:style w:type="character" w:styleId="Nmerodepgina">
    <w:name w:val="page number"/>
    <w:basedOn w:val="Fuentedeprrafopredeter"/>
    <w:uiPriority w:val="99"/>
    <w:semiHidden/>
    <w:unhideWhenUsed/>
    <w:rsid w:val="004649A5"/>
  </w:style>
  <w:style w:type="table" w:styleId="Tablaconcuadrcula">
    <w:name w:val="Table Grid"/>
    <w:basedOn w:val="Tablanormal"/>
    <w:uiPriority w:val="39"/>
    <w:rsid w:val="00AE00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2">
    <w:name w:val="s2"/>
    <w:basedOn w:val="Fuentedeprrafopredeter"/>
    <w:rsid w:val="00EA55E4"/>
  </w:style>
  <w:style w:type="character" w:styleId="nfasisintenso">
    <w:name w:val="Intense Emphasis"/>
    <w:basedOn w:val="Fuentedeprrafopredeter"/>
    <w:uiPriority w:val="21"/>
    <w:qFormat/>
    <w:rsid w:val="00817B1E"/>
    <w:rPr>
      <w:i/>
      <w:iCs/>
      <w:color w:val="5B9BD5" w:themeColor="accent1"/>
    </w:rPr>
  </w:style>
  <w:style w:type="table" w:styleId="Tabladelista1clara">
    <w:name w:val="List Table 1 Light"/>
    <w:basedOn w:val="Tablanormal"/>
    <w:uiPriority w:val="46"/>
    <w:rsid w:val="00817B1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extoindependiente2">
    <w:name w:val="Body Text 2"/>
    <w:basedOn w:val="Normal"/>
    <w:link w:val="Textoindependiente2Car"/>
    <w:rsid w:val="00E465DC"/>
    <w:rPr>
      <w:b/>
      <w:szCs w:val="20"/>
      <w:lang w:val="es-ES" w:eastAsia="es-ES"/>
    </w:rPr>
  </w:style>
  <w:style w:type="character" w:customStyle="1" w:styleId="Textoindependiente2Car">
    <w:name w:val="Texto independiente 2 Car"/>
    <w:basedOn w:val="Fuentedeprrafopredeter"/>
    <w:link w:val="Textoindependiente2"/>
    <w:rsid w:val="00E465DC"/>
    <w:rPr>
      <w:rFonts w:ascii="Times New Roman" w:eastAsia="Times New Roman" w:hAnsi="Times New Roman" w:cs="Times New Roman"/>
      <w:b/>
      <w:sz w:val="24"/>
      <w:szCs w:val="20"/>
      <w:lang w:val="es-ES" w:eastAsia="es-ES"/>
    </w:rPr>
  </w:style>
  <w:style w:type="character" w:customStyle="1" w:styleId="Ttulo5Car">
    <w:name w:val="Título 5 Car"/>
    <w:basedOn w:val="Fuentedeprrafopredeter"/>
    <w:link w:val="Ttulo5"/>
    <w:uiPriority w:val="9"/>
    <w:rsid w:val="00E465DC"/>
    <w:rPr>
      <w:rFonts w:asciiTheme="majorHAnsi" w:eastAsiaTheme="majorEastAsia" w:hAnsiTheme="majorHAnsi" w:cstheme="majorBidi"/>
      <w:color w:val="2E74B5" w:themeColor="accent1" w:themeShade="BF"/>
    </w:rPr>
  </w:style>
  <w:style w:type="character" w:customStyle="1" w:styleId="notranslate">
    <w:name w:val="notranslate"/>
    <w:basedOn w:val="Fuentedeprrafopredeter"/>
    <w:rsid w:val="00E465DC"/>
  </w:style>
  <w:style w:type="character" w:styleId="Hipervnculovisitado">
    <w:name w:val="FollowedHyperlink"/>
    <w:basedOn w:val="Fuentedeprrafopredeter"/>
    <w:uiPriority w:val="99"/>
    <w:semiHidden/>
    <w:unhideWhenUsed/>
    <w:rsid w:val="00E465DC"/>
    <w:rPr>
      <w:color w:val="954F72" w:themeColor="followedHyperlink"/>
      <w:u w:val="single"/>
    </w:rPr>
  </w:style>
  <w:style w:type="paragraph" w:styleId="Cita">
    <w:name w:val="Quote"/>
    <w:basedOn w:val="Normal"/>
    <w:next w:val="Normal"/>
    <w:link w:val="CitaCar"/>
    <w:uiPriority w:val="29"/>
    <w:qFormat/>
    <w:rsid w:val="00FC0EDF"/>
    <w:pPr>
      <w:spacing w:before="200" w:after="160" w:line="259" w:lineRule="auto"/>
      <w:ind w:left="864" w:right="864"/>
      <w:jc w:val="center"/>
    </w:pPr>
    <w:rPr>
      <w:rFonts w:asciiTheme="minorHAnsi" w:eastAsiaTheme="minorEastAsia" w:hAnsiTheme="minorHAnsi" w:cstheme="minorBidi"/>
      <w:i/>
      <w:iCs/>
      <w:color w:val="404040" w:themeColor="text1" w:themeTint="BF"/>
      <w:sz w:val="22"/>
      <w:szCs w:val="22"/>
      <w:lang w:val="es-US" w:eastAsia="zh-TW"/>
    </w:rPr>
  </w:style>
  <w:style w:type="character" w:customStyle="1" w:styleId="CitaCar">
    <w:name w:val="Cita Car"/>
    <w:basedOn w:val="Fuentedeprrafopredeter"/>
    <w:link w:val="Cita"/>
    <w:uiPriority w:val="29"/>
    <w:rsid w:val="00FC0EDF"/>
    <w:rPr>
      <w:rFonts w:eastAsiaTheme="minorEastAsia"/>
      <w:i/>
      <w:iCs/>
      <w:color w:val="404040" w:themeColor="text1" w:themeTint="BF"/>
      <w:lang w:val="es-US" w:eastAsia="zh-TW"/>
    </w:rPr>
  </w:style>
  <w:style w:type="character" w:customStyle="1" w:styleId="SinespaciadoCar">
    <w:name w:val="Sin espaciado Car"/>
    <w:basedOn w:val="Fuentedeprrafopredeter"/>
    <w:link w:val="Sinespaciado"/>
    <w:uiPriority w:val="1"/>
    <w:rsid w:val="00497312"/>
    <w:rPr>
      <w:lang w:val="en-US"/>
    </w:rPr>
  </w:style>
  <w:style w:type="character" w:customStyle="1" w:styleId="y2iqfc">
    <w:name w:val="y2iqfc"/>
    <w:basedOn w:val="Fuentedeprrafopredeter"/>
    <w:rsid w:val="00004EB2"/>
  </w:style>
  <w:style w:type="paragraph" w:styleId="Textonotaalfinal">
    <w:name w:val="endnote text"/>
    <w:basedOn w:val="Normal"/>
    <w:link w:val="TextonotaalfinalCar"/>
    <w:uiPriority w:val="99"/>
    <w:unhideWhenUsed/>
    <w:rsid w:val="008E74FD"/>
    <w:rPr>
      <w:rFonts w:asciiTheme="minorHAnsi" w:eastAsiaTheme="minorHAnsi" w:hAnsiTheme="minorHAnsi" w:cstheme="minorBidi"/>
      <w:sz w:val="20"/>
      <w:szCs w:val="20"/>
      <w:lang w:val="en-US" w:eastAsia="en-US"/>
    </w:rPr>
  </w:style>
  <w:style w:type="character" w:customStyle="1" w:styleId="TextonotaalfinalCar">
    <w:name w:val="Texto nota al final Car"/>
    <w:basedOn w:val="Fuentedeprrafopredeter"/>
    <w:link w:val="Textonotaalfinal"/>
    <w:uiPriority w:val="99"/>
    <w:rsid w:val="008E74FD"/>
    <w:rPr>
      <w:sz w:val="20"/>
      <w:szCs w:val="20"/>
      <w:lang w:val="en-US"/>
    </w:rPr>
  </w:style>
  <w:style w:type="character" w:styleId="Refdenotaalfinal">
    <w:name w:val="endnote reference"/>
    <w:basedOn w:val="Fuentedeprrafopredeter"/>
    <w:uiPriority w:val="99"/>
    <w:semiHidden/>
    <w:unhideWhenUsed/>
    <w:rsid w:val="008E74FD"/>
    <w:rPr>
      <w:vertAlign w:val="superscript"/>
    </w:rPr>
  </w:style>
  <w:style w:type="paragraph" w:customStyle="1" w:styleId="paragraph">
    <w:name w:val="paragraph"/>
    <w:basedOn w:val="Normal"/>
    <w:rsid w:val="002F5759"/>
    <w:pPr>
      <w:spacing w:before="100" w:beforeAutospacing="1" w:after="100" w:afterAutospacing="1"/>
    </w:pPr>
    <w:rPr>
      <w:lang w:eastAsia="es-EC"/>
    </w:rPr>
  </w:style>
  <w:style w:type="character" w:customStyle="1" w:styleId="normaltextrun">
    <w:name w:val="normaltextrun"/>
    <w:basedOn w:val="Fuentedeprrafopredeter"/>
    <w:rsid w:val="002F5759"/>
  </w:style>
  <w:style w:type="character" w:customStyle="1" w:styleId="PrrafodelistaCar">
    <w:name w:val="Párrafo de lista Car"/>
    <w:aliases w:val="figuras cap 5 Car,TITULOS PRINCIPALES Car,Fundamentacion Car,Lista vistosa - Énfasis 11 Car,Bulleted List Car,Lista media 2 - Énfasis 41 Car,List Paragraph Car,SubPárrafo de lista Car,Cita Pie de Página Car,titulo Car,coar Car"/>
    <w:link w:val="Prrafodelista"/>
    <w:qFormat/>
    <w:rsid w:val="002F26EE"/>
  </w:style>
  <w:style w:type="table" w:styleId="Tablaconcuadrculaclara">
    <w:name w:val="Grid Table Light"/>
    <w:basedOn w:val="Tablanormal"/>
    <w:uiPriority w:val="40"/>
    <w:rsid w:val="00C1780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5">
    <w:name w:val="Plain Table 5"/>
    <w:basedOn w:val="Tablanormal"/>
    <w:uiPriority w:val="45"/>
    <w:rsid w:val="00C1780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1">
    <w:name w:val="Plain Table 1"/>
    <w:basedOn w:val="Tablanormal"/>
    <w:uiPriority w:val="41"/>
    <w:rsid w:val="003D053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delista2">
    <w:name w:val="List Table 2"/>
    <w:basedOn w:val="Tablanormal"/>
    <w:uiPriority w:val="47"/>
    <w:rsid w:val="00C732B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orpo">
    <w:name w:val="Corpo"/>
    <w:rsid w:val="001E45DA"/>
    <w:pPr>
      <w:pBdr>
        <w:top w:val="nil"/>
        <w:left w:val="nil"/>
        <w:bottom w:val="nil"/>
        <w:right w:val="nil"/>
        <w:between w:val="nil"/>
        <w:bar w:val="nil"/>
      </w:pBdr>
    </w:pPr>
    <w:rPr>
      <w:rFonts w:ascii="Calibri" w:eastAsia="Arial Unicode MS" w:hAnsi="Calibri" w:cs="Arial Unicode MS"/>
      <w:color w:val="000000"/>
      <w:u w:color="000000"/>
      <w:bdr w:val="nil"/>
      <w:lang w:val="pt-PT" w:eastAsia="es-MX"/>
      <w14:textOutline w14:w="0" w14:cap="flat" w14:cmpd="sng" w14:algn="ctr">
        <w14:noFill/>
        <w14:prstDash w14:val="solid"/>
        <w14:bevel/>
      </w14:textOutline>
    </w:rPr>
  </w:style>
  <w:style w:type="paragraph" w:customStyle="1" w:styleId="CorpoA">
    <w:name w:val="Corpo A"/>
    <w:rsid w:val="001E45DA"/>
    <w:pPr>
      <w:pBdr>
        <w:top w:val="nil"/>
        <w:left w:val="nil"/>
        <w:bottom w:val="nil"/>
        <w:right w:val="nil"/>
        <w:between w:val="nil"/>
        <w:bar w:val="nil"/>
      </w:pBdr>
      <w:spacing w:line="256" w:lineRule="auto"/>
    </w:pPr>
    <w:rPr>
      <w:rFonts w:ascii="Calibri" w:eastAsia="Arial Unicode MS" w:hAnsi="Calibri" w:cs="Arial Unicode MS"/>
      <w:color w:val="000000"/>
      <w:u w:color="000000"/>
      <w:bdr w:val="nil"/>
      <w:lang w:val="es-ES_tradnl" w:eastAsia="es-MX"/>
    </w:rPr>
  </w:style>
  <w:style w:type="character" w:customStyle="1" w:styleId="Hyperlink0">
    <w:name w:val="Hyperlink.0"/>
    <w:basedOn w:val="Fuentedeprrafopredeter"/>
    <w:rsid w:val="001E45DA"/>
    <w:rPr>
      <w:outline w:val="0"/>
      <w:color w:val="000000"/>
      <w:u w:val="none" w:color="0563C1"/>
    </w:rPr>
  </w:style>
  <w:style w:type="paragraph" w:customStyle="1" w:styleId="Padro">
    <w:name w:val="Padrão"/>
    <w:rsid w:val="001E45D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pt-PT" w:eastAsia="es-MX"/>
      <w14:textOutline w14:w="0" w14:cap="flat" w14:cmpd="sng" w14:algn="ctr">
        <w14:noFill/>
        <w14:prstDash w14:val="solid"/>
        <w14:bevel/>
      </w14:textOutline>
    </w:rPr>
  </w:style>
  <w:style w:type="character" w:customStyle="1" w:styleId="orcid-id-https">
    <w:name w:val="orcid-id-https"/>
    <w:basedOn w:val="Fuentedeprrafopredeter"/>
    <w:rsid w:val="00BA4D89"/>
  </w:style>
  <w:style w:type="paragraph" w:customStyle="1" w:styleId="heading2">
    <w:name w:val="heading2"/>
    <w:basedOn w:val="Normal"/>
    <w:rsid w:val="00DD38E0"/>
    <w:pPr>
      <w:keepNext/>
      <w:keepLines/>
      <w:tabs>
        <w:tab w:val="left" w:pos="284"/>
      </w:tabs>
      <w:suppressAutoHyphens/>
      <w:overflowPunct w:val="0"/>
      <w:autoSpaceDE w:val="0"/>
      <w:autoSpaceDN w:val="0"/>
      <w:adjustRightInd w:val="0"/>
      <w:spacing w:before="240" w:after="120"/>
      <w:jc w:val="both"/>
      <w:textAlignment w:val="baseline"/>
    </w:pPr>
    <w:rPr>
      <w:rFonts w:ascii="Georgia" w:hAnsi="Georgia"/>
      <w:b/>
      <w:bCs/>
      <w:sz w:val="20"/>
      <w:szCs w:val="20"/>
      <w:lang w:val="es-ES" w:eastAsia="pt-PT"/>
    </w:rPr>
  </w:style>
  <w:style w:type="paragraph" w:customStyle="1" w:styleId="heading1-georgia">
    <w:name w:val="heading1-georgia"/>
    <w:basedOn w:val="Normal"/>
    <w:rsid w:val="00DD38E0"/>
    <w:pPr>
      <w:keepNext/>
      <w:keepLines/>
      <w:tabs>
        <w:tab w:val="left" w:pos="397"/>
      </w:tabs>
      <w:suppressAutoHyphens/>
      <w:overflowPunct w:val="0"/>
      <w:autoSpaceDE w:val="0"/>
      <w:autoSpaceDN w:val="0"/>
      <w:adjustRightInd w:val="0"/>
      <w:spacing w:before="360" w:after="120"/>
      <w:jc w:val="both"/>
      <w:textAlignment w:val="baseline"/>
    </w:pPr>
    <w:rPr>
      <w:rFonts w:ascii="Georgia" w:hAnsi="Georgia"/>
      <w:b/>
      <w:bCs/>
      <w:sz w:val="22"/>
      <w:szCs w:val="20"/>
      <w:lang w:val="es-ES" w:eastAsia="pt-PT"/>
    </w:rPr>
  </w:style>
  <w:style w:type="paragraph" w:customStyle="1" w:styleId="References">
    <w:name w:val="References"/>
    <w:basedOn w:val="Normal"/>
    <w:rsid w:val="00DD38E0"/>
    <w:pPr>
      <w:overflowPunct w:val="0"/>
      <w:autoSpaceDE w:val="0"/>
      <w:autoSpaceDN w:val="0"/>
      <w:adjustRightInd w:val="0"/>
      <w:spacing w:after="120"/>
      <w:ind w:left="397" w:hanging="397"/>
      <w:jc w:val="both"/>
      <w:textAlignment w:val="baseline"/>
    </w:pPr>
    <w:rPr>
      <w:rFonts w:ascii="Times" w:hAnsi="Times"/>
      <w:sz w:val="22"/>
      <w:szCs w:val="20"/>
      <w:lang w:val="pt-PT" w:eastAsia="pt-PT"/>
    </w:rPr>
  </w:style>
  <w:style w:type="paragraph" w:customStyle="1" w:styleId="Normal1">
    <w:name w:val="Normal1"/>
    <w:rsid w:val="0065152B"/>
    <w:pPr>
      <w:spacing w:after="0" w:line="360" w:lineRule="auto"/>
      <w:ind w:firstLine="680"/>
      <w:jc w:val="both"/>
    </w:pPr>
    <w:rPr>
      <w:rFonts w:ascii="Times New Roman" w:eastAsia="Times New Roman" w:hAnsi="Times New Roman" w:cs="Times New Roman"/>
      <w:sz w:val="24"/>
      <w:szCs w:val="24"/>
      <w:lang w:eastAsia="es-EC"/>
    </w:rPr>
  </w:style>
  <w:style w:type="paragraph" w:styleId="Textoindependiente">
    <w:name w:val="Body Text"/>
    <w:basedOn w:val="Normal"/>
    <w:link w:val="TextoindependienteCar"/>
    <w:uiPriority w:val="99"/>
    <w:unhideWhenUsed/>
    <w:rsid w:val="003871F3"/>
    <w:pPr>
      <w:spacing w:after="120"/>
    </w:pPr>
  </w:style>
  <w:style w:type="character" w:customStyle="1" w:styleId="TextoindependienteCar">
    <w:name w:val="Texto independiente Car"/>
    <w:basedOn w:val="Fuentedeprrafopredeter"/>
    <w:link w:val="Textoindependiente"/>
    <w:uiPriority w:val="99"/>
    <w:rsid w:val="003871F3"/>
    <w:rPr>
      <w:rFonts w:ascii="Times New Roman" w:eastAsia="Times New Roman" w:hAnsi="Times New Roman" w:cs="Times New Roman"/>
      <w:sz w:val="24"/>
      <w:szCs w:val="24"/>
      <w:lang w:eastAsia="es-ES_tradnl"/>
    </w:rPr>
  </w:style>
  <w:style w:type="table" w:customStyle="1" w:styleId="TableNormal">
    <w:name w:val="Table Normal"/>
    <w:uiPriority w:val="2"/>
    <w:semiHidden/>
    <w:unhideWhenUsed/>
    <w:qFormat/>
    <w:rsid w:val="003871F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871F3"/>
    <w:pPr>
      <w:widowControl w:val="0"/>
      <w:autoSpaceDE w:val="0"/>
      <w:autoSpaceDN w:val="0"/>
      <w:ind w:left="9"/>
    </w:pPr>
    <w:rPr>
      <w:rFonts w:ascii="Arial MT" w:eastAsia="Arial MT" w:hAnsi="Arial MT" w:cs="Arial MT"/>
      <w:sz w:val="22"/>
      <w:szCs w:val="22"/>
      <w:lang w:val="es-ES" w:eastAsia="en-US"/>
    </w:rPr>
  </w:style>
  <w:style w:type="character" w:styleId="Textodelmarcadordeposicin">
    <w:name w:val="Placeholder Text"/>
    <w:basedOn w:val="Fuentedeprrafopredeter"/>
    <w:uiPriority w:val="99"/>
    <w:semiHidden/>
    <w:rsid w:val="004404F5"/>
    <w:rPr>
      <w:color w:val="666666"/>
    </w:rPr>
  </w:style>
  <w:style w:type="character" w:styleId="Refdecomentario">
    <w:name w:val="annotation reference"/>
    <w:basedOn w:val="Fuentedeprrafopredeter"/>
    <w:uiPriority w:val="99"/>
    <w:semiHidden/>
    <w:unhideWhenUsed/>
    <w:rsid w:val="00867A71"/>
    <w:rPr>
      <w:sz w:val="16"/>
      <w:szCs w:val="16"/>
    </w:rPr>
  </w:style>
  <w:style w:type="character" w:styleId="nfasis">
    <w:name w:val="Emphasis"/>
    <w:basedOn w:val="Fuentedeprrafopredeter"/>
    <w:uiPriority w:val="20"/>
    <w:qFormat/>
    <w:rsid w:val="00D45C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986">
      <w:bodyDiv w:val="1"/>
      <w:marLeft w:val="0"/>
      <w:marRight w:val="0"/>
      <w:marTop w:val="0"/>
      <w:marBottom w:val="0"/>
      <w:divBdr>
        <w:top w:val="none" w:sz="0" w:space="0" w:color="auto"/>
        <w:left w:val="none" w:sz="0" w:space="0" w:color="auto"/>
        <w:bottom w:val="none" w:sz="0" w:space="0" w:color="auto"/>
        <w:right w:val="none" w:sz="0" w:space="0" w:color="auto"/>
      </w:divBdr>
    </w:div>
    <w:div w:id="17437510">
      <w:bodyDiv w:val="1"/>
      <w:marLeft w:val="0"/>
      <w:marRight w:val="0"/>
      <w:marTop w:val="0"/>
      <w:marBottom w:val="0"/>
      <w:divBdr>
        <w:top w:val="none" w:sz="0" w:space="0" w:color="auto"/>
        <w:left w:val="none" w:sz="0" w:space="0" w:color="auto"/>
        <w:bottom w:val="none" w:sz="0" w:space="0" w:color="auto"/>
        <w:right w:val="none" w:sz="0" w:space="0" w:color="auto"/>
      </w:divBdr>
    </w:div>
    <w:div w:id="33119429">
      <w:bodyDiv w:val="1"/>
      <w:marLeft w:val="0"/>
      <w:marRight w:val="0"/>
      <w:marTop w:val="0"/>
      <w:marBottom w:val="0"/>
      <w:divBdr>
        <w:top w:val="none" w:sz="0" w:space="0" w:color="auto"/>
        <w:left w:val="none" w:sz="0" w:space="0" w:color="auto"/>
        <w:bottom w:val="none" w:sz="0" w:space="0" w:color="auto"/>
        <w:right w:val="none" w:sz="0" w:space="0" w:color="auto"/>
      </w:divBdr>
    </w:div>
    <w:div w:id="40907201">
      <w:bodyDiv w:val="1"/>
      <w:marLeft w:val="0"/>
      <w:marRight w:val="0"/>
      <w:marTop w:val="0"/>
      <w:marBottom w:val="0"/>
      <w:divBdr>
        <w:top w:val="none" w:sz="0" w:space="0" w:color="auto"/>
        <w:left w:val="none" w:sz="0" w:space="0" w:color="auto"/>
        <w:bottom w:val="none" w:sz="0" w:space="0" w:color="auto"/>
        <w:right w:val="none" w:sz="0" w:space="0" w:color="auto"/>
      </w:divBdr>
    </w:div>
    <w:div w:id="99111317">
      <w:bodyDiv w:val="1"/>
      <w:marLeft w:val="0"/>
      <w:marRight w:val="0"/>
      <w:marTop w:val="0"/>
      <w:marBottom w:val="0"/>
      <w:divBdr>
        <w:top w:val="none" w:sz="0" w:space="0" w:color="auto"/>
        <w:left w:val="none" w:sz="0" w:space="0" w:color="auto"/>
        <w:bottom w:val="none" w:sz="0" w:space="0" w:color="auto"/>
        <w:right w:val="none" w:sz="0" w:space="0" w:color="auto"/>
      </w:divBdr>
    </w:div>
    <w:div w:id="131141965">
      <w:bodyDiv w:val="1"/>
      <w:marLeft w:val="0"/>
      <w:marRight w:val="0"/>
      <w:marTop w:val="0"/>
      <w:marBottom w:val="0"/>
      <w:divBdr>
        <w:top w:val="none" w:sz="0" w:space="0" w:color="auto"/>
        <w:left w:val="none" w:sz="0" w:space="0" w:color="auto"/>
        <w:bottom w:val="none" w:sz="0" w:space="0" w:color="auto"/>
        <w:right w:val="none" w:sz="0" w:space="0" w:color="auto"/>
      </w:divBdr>
    </w:div>
    <w:div w:id="146016860">
      <w:bodyDiv w:val="1"/>
      <w:marLeft w:val="0"/>
      <w:marRight w:val="0"/>
      <w:marTop w:val="0"/>
      <w:marBottom w:val="0"/>
      <w:divBdr>
        <w:top w:val="none" w:sz="0" w:space="0" w:color="auto"/>
        <w:left w:val="none" w:sz="0" w:space="0" w:color="auto"/>
        <w:bottom w:val="none" w:sz="0" w:space="0" w:color="auto"/>
        <w:right w:val="none" w:sz="0" w:space="0" w:color="auto"/>
      </w:divBdr>
    </w:div>
    <w:div w:id="148910324">
      <w:bodyDiv w:val="1"/>
      <w:marLeft w:val="0"/>
      <w:marRight w:val="0"/>
      <w:marTop w:val="0"/>
      <w:marBottom w:val="0"/>
      <w:divBdr>
        <w:top w:val="none" w:sz="0" w:space="0" w:color="auto"/>
        <w:left w:val="none" w:sz="0" w:space="0" w:color="auto"/>
        <w:bottom w:val="none" w:sz="0" w:space="0" w:color="auto"/>
        <w:right w:val="none" w:sz="0" w:space="0" w:color="auto"/>
      </w:divBdr>
    </w:div>
    <w:div w:id="162821371">
      <w:bodyDiv w:val="1"/>
      <w:marLeft w:val="0"/>
      <w:marRight w:val="0"/>
      <w:marTop w:val="0"/>
      <w:marBottom w:val="0"/>
      <w:divBdr>
        <w:top w:val="none" w:sz="0" w:space="0" w:color="auto"/>
        <w:left w:val="none" w:sz="0" w:space="0" w:color="auto"/>
        <w:bottom w:val="none" w:sz="0" w:space="0" w:color="auto"/>
        <w:right w:val="none" w:sz="0" w:space="0" w:color="auto"/>
      </w:divBdr>
    </w:div>
    <w:div w:id="179005774">
      <w:bodyDiv w:val="1"/>
      <w:marLeft w:val="0"/>
      <w:marRight w:val="0"/>
      <w:marTop w:val="0"/>
      <w:marBottom w:val="0"/>
      <w:divBdr>
        <w:top w:val="none" w:sz="0" w:space="0" w:color="auto"/>
        <w:left w:val="none" w:sz="0" w:space="0" w:color="auto"/>
        <w:bottom w:val="none" w:sz="0" w:space="0" w:color="auto"/>
        <w:right w:val="none" w:sz="0" w:space="0" w:color="auto"/>
      </w:divBdr>
    </w:div>
    <w:div w:id="281616889">
      <w:bodyDiv w:val="1"/>
      <w:marLeft w:val="0"/>
      <w:marRight w:val="0"/>
      <w:marTop w:val="0"/>
      <w:marBottom w:val="0"/>
      <w:divBdr>
        <w:top w:val="none" w:sz="0" w:space="0" w:color="auto"/>
        <w:left w:val="none" w:sz="0" w:space="0" w:color="auto"/>
        <w:bottom w:val="none" w:sz="0" w:space="0" w:color="auto"/>
        <w:right w:val="none" w:sz="0" w:space="0" w:color="auto"/>
      </w:divBdr>
    </w:div>
    <w:div w:id="295138437">
      <w:bodyDiv w:val="1"/>
      <w:marLeft w:val="0"/>
      <w:marRight w:val="0"/>
      <w:marTop w:val="0"/>
      <w:marBottom w:val="0"/>
      <w:divBdr>
        <w:top w:val="none" w:sz="0" w:space="0" w:color="auto"/>
        <w:left w:val="none" w:sz="0" w:space="0" w:color="auto"/>
        <w:bottom w:val="none" w:sz="0" w:space="0" w:color="auto"/>
        <w:right w:val="none" w:sz="0" w:space="0" w:color="auto"/>
      </w:divBdr>
    </w:div>
    <w:div w:id="295919480">
      <w:bodyDiv w:val="1"/>
      <w:marLeft w:val="0"/>
      <w:marRight w:val="0"/>
      <w:marTop w:val="0"/>
      <w:marBottom w:val="0"/>
      <w:divBdr>
        <w:top w:val="none" w:sz="0" w:space="0" w:color="auto"/>
        <w:left w:val="none" w:sz="0" w:space="0" w:color="auto"/>
        <w:bottom w:val="none" w:sz="0" w:space="0" w:color="auto"/>
        <w:right w:val="none" w:sz="0" w:space="0" w:color="auto"/>
      </w:divBdr>
    </w:div>
    <w:div w:id="312563226">
      <w:bodyDiv w:val="1"/>
      <w:marLeft w:val="0"/>
      <w:marRight w:val="0"/>
      <w:marTop w:val="0"/>
      <w:marBottom w:val="0"/>
      <w:divBdr>
        <w:top w:val="none" w:sz="0" w:space="0" w:color="auto"/>
        <w:left w:val="none" w:sz="0" w:space="0" w:color="auto"/>
        <w:bottom w:val="none" w:sz="0" w:space="0" w:color="auto"/>
        <w:right w:val="none" w:sz="0" w:space="0" w:color="auto"/>
      </w:divBdr>
    </w:div>
    <w:div w:id="325331034">
      <w:bodyDiv w:val="1"/>
      <w:marLeft w:val="0"/>
      <w:marRight w:val="0"/>
      <w:marTop w:val="0"/>
      <w:marBottom w:val="0"/>
      <w:divBdr>
        <w:top w:val="none" w:sz="0" w:space="0" w:color="auto"/>
        <w:left w:val="none" w:sz="0" w:space="0" w:color="auto"/>
        <w:bottom w:val="none" w:sz="0" w:space="0" w:color="auto"/>
        <w:right w:val="none" w:sz="0" w:space="0" w:color="auto"/>
      </w:divBdr>
    </w:div>
    <w:div w:id="328026113">
      <w:bodyDiv w:val="1"/>
      <w:marLeft w:val="0"/>
      <w:marRight w:val="0"/>
      <w:marTop w:val="0"/>
      <w:marBottom w:val="0"/>
      <w:divBdr>
        <w:top w:val="none" w:sz="0" w:space="0" w:color="auto"/>
        <w:left w:val="none" w:sz="0" w:space="0" w:color="auto"/>
        <w:bottom w:val="none" w:sz="0" w:space="0" w:color="auto"/>
        <w:right w:val="none" w:sz="0" w:space="0" w:color="auto"/>
      </w:divBdr>
    </w:div>
    <w:div w:id="330840133">
      <w:bodyDiv w:val="1"/>
      <w:marLeft w:val="0"/>
      <w:marRight w:val="0"/>
      <w:marTop w:val="0"/>
      <w:marBottom w:val="0"/>
      <w:divBdr>
        <w:top w:val="none" w:sz="0" w:space="0" w:color="auto"/>
        <w:left w:val="none" w:sz="0" w:space="0" w:color="auto"/>
        <w:bottom w:val="none" w:sz="0" w:space="0" w:color="auto"/>
        <w:right w:val="none" w:sz="0" w:space="0" w:color="auto"/>
      </w:divBdr>
    </w:div>
    <w:div w:id="331026747">
      <w:bodyDiv w:val="1"/>
      <w:marLeft w:val="0"/>
      <w:marRight w:val="0"/>
      <w:marTop w:val="0"/>
      <w:marBottom w:val="0"/>
      <w:divBdr>
        <w:top w:val="none" w:sz="0" w:space="0" w:color="auto"/>
        <w:left w:val="none" w:sz="0" w:space="0" w:color="auto"/>
        <w:bottom w:val="none" w:sz="0" w:space="0" w:color="auto"/>
        <w:right w:val="none" w:sz="0" w:space="0" w:color="auto"/>
      </w:divBdr>
    </w:div>
    <w:div w:id="352730232">
      <w:bodyDiv w:val="1"/>
      <w:marLeft w:val="0"/>
      <w:marRight w:val="0"/>
      <w:marTop w:val="0"/>
      <w:marBottom w:val="0"/>
      <w:divBdr>
        <w:top w:val="none" w:sz="0" w:space="0" w:color="auto"/>
        <w:left w:val="none" w:sz="0" w:space="0" w:color="auto"/>
        <w:bottom w:val="none" w:sz="0" w:space="0" w:color="auto"/>
        <w:right w:val="none" w:sz="0" w:space="0" w:color="auto"/>
      </w:divBdr>
    </w:div>
    <w:div w:id="364987991">
      <w:bodyDiv w:val="1"/>
      <w:marLeft w:val="0"/>
      <w:marRight w:val="0"/>
      <w:marTop w:val="0"/>
      <w:marBottom w:val="0"/>
      <w:divBdr>
        <w:top w:val="none" w:sz="0" w:space="0" w:color="auto"/>
        <w:left w:val="none" w:sz="0" w:space="0" w:color="auto"/>
        <w:bottom w:val="none" w:sz="0" w:space="0" w:color="auto"/>
        <w:right w:val="none" w:sz="0" w:space="0" w:color="auto"/>
      </w:divBdr>
    </w:div>
    <w:div w:id="373652893">
      <w:bodyDiv w:val="1"/>
      <w:marLeft w:val="0"/>
      <w:marRight w:val="0"/>
      <w:marTop w:val="0"/>
      <w:marBottom w:val="0"/>
      <w:divBdr>
        <w:top w:val="none" w:sz="0" w:space="0" w:color="auto"/>
        <w:left w:val="none" w:sz="0" w:space="0" w:color="auto"/>
        <w:bottom w:val="none" w:sz="0" w:space="0" w:color="auto"/>
        <w:right w:val="none" w:sz="0" w:space="0" w:color="auto"/>
      </w:divBdr>
    </w:div>
    <w:div w:id="386690748">
      <w:bodyDiv w:val="1"/>
      <w:marLeft w:val="0"/>
      <w:marRight w:val="0"/>
      <w:marTop w:val="0"/>
      <w:marBottom w:val="0"/>
      <w:divBdr>
        <w:top w:val="none" w:sz="0" w:space="0" w:color="auto"/>
        <w:left w:val="none" w:sz="0" w:space="0" w:color="auto"/>
        <w:bottom w:val="none" w:sz="0" w:space="0" w:color="auto"/>
        <w:right w:val="none" w:sz="0" w:space="0" w:color="auto"/>
      </w:divBdr>
    </w:div>
    <w:div w:id="408771552">
      <w:bodyDiv w:val="1"/>
      <w:marLeft w:val="0"/>
      <w:marRight w:val="0"/>
      <w:marTop w:val="0"/>
      <w:marBottom w:val="0"/>
      <w:divBdr>
        <w:top w:val="none" w:sz="0" w:space="0" w:color="auto"/>
        <w:left w:val="none" w:sz="0" w:space="0" w:color="auto"/>
        <w:bottom w:val="none" w:sz="0" w:space="0" w:color="auto"/>
        <w:right w:val="none" w:sz="0" w:space="0" w:color="auto"/>
      </w:divBdr>
    </w:div>
    <w:div w:id="426078893">
      <w:bodyDiv w:val="1"/>
      <w:marLeft w:val="0"/>
      <w:marRight w:val="0"/>
      <w:marTop w:val="0"/>
      <w:marBottom w:val="0"/>
      <w:divBdr>
        <w:top w:val="none" w:sz="0" w:space="0" w:color="auto"/>
        <w:left w:val="none" w:sz="0" w:space="0" w:color="auto"/>
        <w:bottom w:val="none" w:sz="0" w:space="0" w:color="auto"/>
        <w:right w:val="none" w:sz="0" w:space="0" w:color="auto"/>
      </w:divBdr>
    </w:div>
    <w:div w:id="431707366">
      <w:bodyDiv w:val="1"/>
      <w:marLeft w:val="0"/>
      <w:marRight w:val="0"/>
      <w:marTop w:val="0"/>
      <w:marBottom w:val="0"/>
      <w:divBdr>
        <w:top w:val="none" w:sz="0" w:space="0" w:color="auto"/>
        <w:left w:val="none" w:sz="0" w:space="0" w:color="auto"/>
        <w:bottom w:val="none" w:sz="0" w:space="0" w:color="auto"/>
        <w:right w:val="none" w:sz="0" w:space="0" w:color="auto"/>
      </w:divBdr>
    </w:div>
    <w:div w:id="434596003">
      <w:bodyDiv w:val="1"/>
      <w:marLeft w:val="0"/>
      <w:marRight w:val="0"/>
      <w:marTop w:val="0"/>
      <w:marBottom w:val="0"/>
      <w:divBdr>
        <w:top w:val="none" w:sz="0" w:space="0" w:color="auto"/>
        <w:left w:val="none" w:sz="0" w:space="0" w:color="auto"/>
        <w:bottom w:val="none" w:sz="0" w:space="0" w:color="auto"/>
        <w:right w:val="none" w:sz="0" w:space="0" w:color="auto"/>
      </w:divBdr>
    </w:div>
    <w:div w:id="438182804">
      <w:bodyDiv w:val="1"/>
      <w:marLeft w:val="0"/>
      <w:marRight w:val="0"/>
      <w:marTop w:val="0"/>
      <w:marBottom w:val="0"/>
      <w:divBdr>
        <w:top w:val="none" w:sz="0" w:space="0" w:color="auto"/>
        <w:left w:val="none" w:sz="0" w:space="0" w:color="auto"/>
        <w:bottom w:val="none" w:sz="0" w:space="0" w:color="auto"/>
        <w:right w:val="none" w:sz="0" w:space="0" w:color="auto"/>
      </w:divBdr>
    </w:div>
    <w:div w:id="471139252">
      <w:bodyDiv w:val="1"/>
      <w:marLeft w:val="0"/>
      <w:marRight w:val="0"/>
      <w:marTop w:val="0"/>
      <w:marBottom w:val="0"/>
      <w:divBdr>
        <w:top w:val="none" w:sz="0" w:space="0" w:color="auto"/>
        <w:left w:val="none" w:sz="0" w:space="0" w:color="auto"/>
        <w:bottom w:val="none" w:sz="0" w:space="0" w:color="auto"/>
        <w:right w:val="none" w:sz="0" w:space="0" w:color="auto"/>
      </w:divBdr>
    </w:div>
    <w:div w:id="490104669">
      <w:bodyDiv w:val="1"/>
      <w:marLeft w:val="0"/>
      <w:marRight w:val="0"/>
      <w:marTop w:val="0"/>
      <w:marBottom w:val="0"/>
      <w:divBdr>
        <w:top w:val="none" w:sz="0" w:space="0" w:color="auto"/>
        <w:left w:val="none" w:sz="0" w:space="0" w:color="auto"/>
        <w:bottom w:val="none" w:sz="0" w:space="0" w:color="auto"/>
        <w:right w:val="none" w:sz="0" w:space="0" w:color="auto"/>
      </w:divBdr>
    </w:div>
    <w:div w:id="494614651">
      <w:bodyDiv w:val="1"/>
      <w:marLeft w:val="0"/>
      <w:marRight w:val="0"/>
      <w:marTop w:val="0"/>
      <w:marBottom w:val="0"/>
      <w:divBdr>
        <w:top w:val="none" w:sz="0" w:space="0" w:color="auto"/>
        <w:left w:val="none" w:sz="0" w:space="0" w:color="auto"/>
        <w:bottom w:val="none" w:sz="0" w:space="0" w:color="auto"/>
        <w:right w:val="none" w:sz="0" w:space="0" w:color="auto"/>
      </w:divBdr>
    </w:div>
    <w:div w:id="497310727">
      <w:bodyDiv w:val="1"/>
      <w:marLeft w:val="0"/>
      <w:marRight w:val="0"/>
      <w:marTop w:val="0"/>
      <w:marBottom w:val="0"/>
      <w:divBdr>
        <w:top w:val="none" w:sz="0" w:space="0" w:color="auto"/>
        <w:left w:val="none" w:sz="0" w:space="0" w:color="auto"/>
        <w:bottom w:val="none" w:sz="0" w:space="0" w:color="auto"/>
        <w:right w:val="none" w:sz="0" w:space="0" w:color="auto"/>
      </w:divBdr>
      <w:divsChild>
        <w:div w:id="1594313015">
          <w:marLeft w:val="480"/>
          <w:marRight w:val="0"/>
          <w:marTop w:val="0"/>
          <w:marBottom w:val="0"/>
          <w:divBdr>
            <w:top w:val="none" w:sz="0" w:space="0" w:color="auto"/>
            <w:left w:val="none" w:sz="0" w:space="0" w:color="auto"/>
            <w:bottom w:val="none" w:sz="0" w:space="0" w:color="auto"/>
            <w:right w:val="none" w:sz="0" w:space="0" w:color="auto"/>
          </w:divBdr>
        </w:div>
        <w:div w:id="1338191684">
          <w:marLeft w:val="480"/>
          <w:marRight w:val="0"/>
          <w:marTop w:val="0"/>
          <w:marBottom w:val="0"/>
          <w:divBdr>
            <w:top w:val="none" w:sz="0" w:space="0" w:color="auto"/>
            <w:left w:val="none" w:sz="0" w:space="0" w:color="auto"/>
            <w:bottom w:val="none" w:sz="0" w:space="0" w:color="auto"/>
            <w:right w:val="none" w:sz="0" w:space="0" w:color="auto"/>
          </w:divBdr>
        </w:div>
        <w:div w:id="1497770683">
          <w:marLeft w:val="480"/>
          <w:marRight w:val="0"/>
          <w:marTop w:val="0"/>
          <w:marBottom w:val="0"/>
          <w:divBdr>
            <w:top w:val="none" w:sz="0" w:space="0" w:color="auto"/>
            <w:left w:val="none" w:sz="0" w:space="0" w:color="auto"/>
            <w:bottom w:val="none" w:sz="0" w:space="0" w:color="auto"/>
            <w:right w:val="none" w:sz="0" w:space="0" w:color="auto"/>
          </w:divBdr>
        </w:div>
        <w:div w:id="1775588504">
          <w:marLeft w:val="480"/>
          <w:marRight w:val="0"/>
          <w:marTop w:val="0"/>
          <w:marBottom w:val="0"/>
          <w:divBdr>
            <w:top w:val="none" w:sz="0" w:space="0" w:color="auto"/>
            <w:left w:val="none" w:sz="0" w:space="0" w:color="auto"/>
            <w:bottom w:val="none" w:sz="0" w:space="0" w:color="auto"/>
            <w:right w:val="none" w:sz="0" w:space="0" w:color="auto"/>
          </w:divBdr>
        </w:div>
        <w:div w:id="2096122746">
          <w:marLeft w:val="480"/>
          <w:marRight w:val="0"/>
          <w:marTop w:val="0"/>
          <w:marBottom w:val="0"/>
          <w:divBdr>
            <w:top w:val="none" w:sz="0" w:space="0" w:color="auto"/>
            <w:left w:val="none" w:sz="0" w:space="0" w:color="auto"/>
            <w:bottom w:val="none" w:sz="0" w:space="0" w:color="auto"/>
            <w:right w:val="none" w:sz="0" w:space="0" w:color="auto"/>
          </w:divBdr>
        </w:div>
      </w:divsChild>
    </w:div>
    <w:div w:id="497621320">
      <w:bodyDiv w:val="1"/>
      <w:marLeft w:val="0"/>
      <w:marRight w:val="0"/>
      <w:marTop w:val="0"/>
      <w:marBottom w:val="0"/>
      <w:divBdr>
        <w:top w:val="none" w:sz="0" w:space="0" w:color="auto"/>
        <w:left w:val="none" w:sz="0" w:space="0" w:color="auto"/>
        <w:bottom w:val="none" w:sz="0" w:space="0" w:color="auto"/>
        <w:right w:val="none" w:sz="0" w:space="0" w:color="auto"/>
      </w:divBdr>
    </w:div>
    <w:div w:id="501093163">
      <w:bodyDiv w:val="1"/>
      <w:marLeft w:val="0"/>
      <w:marRight w:val="0"/>
      <w:marTop w:val="0"/>
      <w:marBottom w:val="0"/>
      <w:divBdr>
        <w:top w:val="none" w:sz="0" w:space="0" w:color="auto"/>
        <w:left w:val="none" w:sz="0" w:space="0" w:color="auto"/>
        <w:bottom w:val="none" w:sz="0" w:space="0" w:color="auto"/>
        <w:right w:val="none" w:sz="0" w:space="0" w:color="auto"/>
      </w:divBdr>
    </w:div>
    <w:div w:id="503786042">
      <w:bodyDiv w:val="1"/>
      <w:marLeft w:val="0"/>
      <w:marRight w:val="0"/>
      <w:marTop w:val="0"/>
      <w:marBottom w:val="0"/>
      <w:divBdr>
        <w:top w:val="none" w:sz="0" w:space="0" w:color="auto"/>
        <w:left w:val="none" w:sz="0" w:space="0" w:color="auto"/>
        <w:bottom w:val="none" w:sz="0" w:space="0" w:color="auto"/>
        <w:right w:val="none" w:sz="0" w:space="0" w:color="auto"/>
      </w:divBdr>
    </w:div>
    <w:div w:id="523060700">
      <w:bodyDiv w:val="1"/>
      <w:marLeft w:val="0"/>
      <w:marRight w:val="0"/>
      <w:marTop w:val="0"/>
      <w:marBottom w:val="0"/>
      <w:divBdr>
        <w:top w:val="none" w:sz="0" w:space="0" w:color="auto"/>
        <w:left w:val="none" w:sz="0" w:space="0" w:color="auto"/>
        <w:bottom w:val="none" w:sz="0" w:space="0" w:color="auto"/>
        <w:right w:val="none" w:sz="0" w:space="0" w:color="auto"/>
      </w:divBdr>
    </w:div>
    <w:div w:id="554895574">
      <w:bodyDiv w:val="1"/>
      <w:marLeft w:val="0"/>
      <w:marRight w:val="0"/>
      <w:marTop w:val="0"/>
      <w:marBottom w:val="0"/>
      <w:divBdr>
        <w:top w:val="none" w:sz="0" w:space="0" w:color="auto"/>
        <w:left w:val="none" w:sz="0" w:space="0" w:color="auto"/>
        <w:bottom w:val="none" w:sz="0" w:space="0" w:color="auto"/>
        <w:right w:val="none" w:sz="0" w:space="0" w:color="auto"/>
      </w:divBdr>
    </w:div>
    <w:div w:id="558786662">
      <w:bodyDiv w:val="1"/>
      <w:marLeft w:val="0"/>
      <w:marRight w:val="0"/>
      <w:marTop w:val="0"/>
      <w:marBottom w:val="0"/>
      <w:divBdr>
        <w:top w:val="none" w:sz="0" w:space="0" w:color="auto"/>
        <w:left w:val="none" w:sz="0" w:space="0" w:color="auto"/>
        <w:bottom w:val="none" w:sz="0" w:space="0" w:color="auto"/>
        <w:right w:val="none" w:sz="0" w:space="0" w:color="auto"/>
      </w:divBdr>
    </w:div>
    <w:div w:id="564535548">
      <w:bodyDiv w:val="1"/>
      <w:marLeft w:val="0"/>
      <w:marRight w:val="0"/>
      <w:marTop w:val="0"/>
      <w:marBottom w:val="0"/>
      <w:divBdr>
        <w:top w:val="none" w:sz="0" w:space="0" w:color="auto"/>
        <w:left w:val="none" w:sz="0" w:space="0" w:color="auto"/>
        <w:bottom w:val="none" w:sz="0" w:space="0" w:color="auto"/>
        <w:right w:val="none" w:sz="0" w:space="0" w:color="auto"/>
      </w:divBdr>
    </w:div>
    <w:div w:id="567350592">
      <w:bodyDiv w:val="1"/>
      <w:marLeft w:val="0"/>
      <w:marRight w:val="0"/>
      <w:marTop w:val="0"/>
      <w:marBottom w:val="0"/>
      <w:divBdr>
        <w:top w:val="none" w:sz="0" w:space="0" w:color="auto"/>
        <w:left w:val="none" w:sz="0" w:space="0" w:color="auto"/>
        <w:bottom w:val="none" w:sz="0" w:space="0" w:color="auto"/>
        <w:right w:val="none" w:sz="0" w:space="0" w:color="auto"/>
      </w:divBdr>
    </w:div>
    <w:div w:id="582378119">
      <w:bodyDiv w:val="1"/>
      <w:marLeft w:val="0"/>
      <w:marRight w:val="0"/>
      <w:marTop w:val="0"/>
      <w:marBottom w:val="0"/>
      <w:divBdr>
        <w:top w:val="none" w:sz="0" w:space="0" w:color="auto"/>
        <w:left w:val="none" w:sz="0" w:space="0" w:color="auto"/>
        <w:bottom w:val="none" w:sz="0" w:space="0" w:color="auto"/>
        <w:right w:val="none" w:sz="0" w:space="0" w:color="auto"/>
      </w:divBdr>
    </w:div>
    <w:div w:id="588857195">
      <w:bodyDiv w:val="1"/>
      <w:marLeft w:val="0"/>
      <w:marRight w:val="0"/>
      <w:marTop w:val="0"/>
      <w:marBottom w:val="0"/>
      <w:divBdr>
        <w:top w:val="none" w:sz="0" w:space="0" w:color="auto"/>
        <w:left w:val="none" w:sz="0" w:space="0" w:color="auto"/>
        <w:bottom w:val="none" w:sz="0" w:space="0" w:color="auto"/>
        <w:right w:val="none" w:sz="0" w:space="0" w:color="auto"/>
      </w:divBdr>
    </w:div>
    <w:div w:id="601765187">
      <w:bodyDiv w:val="1"/>
      <w:marLeft w:val="0"/>
      <w:marRight w:val="0"/>
      <w:marTop w:val="0"/>
      <w:marBottom w:val="0"/>
      <w:divBdr>
        <w:top w:val="none" w:sz="0" w:space="0" w:color="auto"/>
        <w:left w:val="none" w:sz="0" w:space="0" w:color="auto"/>
        <w:bottom w:val="none" w:sz="0" w:space="0" w:color="auto"/>
        <w:right w:val="none" w:sz="0" w:space="0" w:color="auto"/>
      </w:divBdr>
    </w:div>
    <w:div w:id="612515274">
      <w:bodyDiv w:val="1"/>
      <w:marLeft w:val="0"/>
      <w:marRight w:val="0"/>
      <w:marTop w:val="0"/>
      <w:marBottom w:val="0"/>
      <w:divBdr>
        <w:top w:val="none" w:sz="0" w:space="0" w:color="auto"/>
        <w:left w:val="none" w:sz="0" w:space="0" w:color="auto"/>
        <w:bottom w:val="none" w:sz="0" w:space="0" w:color="auto"/>
        <w:right w:val="none" w:sz="0" w:space="0" w:color="auto"/>
      </w:divBdr>
    </w:div>
    <w:div w:id="612979675">
      <w:bodyDiv w:val="1"/>
      <w:marLeft w:val="0"/>
      <w:marRight w:val="0"/>
      <w:marTop w:val="0"/>
      <w:marBottom w:val="0"/>
      <w:divBdr>
        <w:top w:val="none" w:sz="0" w:space="0" w:color="auto"/>
        <w:left w:val="none" w:sz="0" w:space="0" w:color="auto"/>
        <w:bottom w:val="none" w:sz="0" w:space="0" w:color="auto"/>
        <w:right w:val="none" w:sz="0" w:space="0" w:color="auto"/>
      </w:divBdr>
    </w:div>
    <w:div w:id="640840724">
      <w:bodyDiv w:val="1"/>
      <w:marLeft w:val="0"/>
      <w:marRight w:val="0"/>
      <w:marTop w:val="0"/>
      <w:marBottom w:val="0"/>
      <w:divBdr>
        <w:top w:val="none" w:sz="0" w:space="0" w:color="auto"/>
        <w:left w:val="none" w:sz="0" w:space="0" w:color="auto"/>
        <w:bottom w:val="none" w:sz="0" w:space="0" w:color="auto"/>
        <w:right w:val="none" w:sz="0" w:space="0" w:color="auto"/>
      </w:divBdr>
    </w:div>
    <w:div w:id="653727388">
      <w:bodyDiv w:val="1"/>
      <w:marLeft w:val="0"/>
      <w:marRight w:val="0"/>
      <w:marTop w:val="0"/>
      <w:marBottom w:val="0"/>
      <w:divBdr>
        <w:top w:val="none" w:sz="0" w:space="0" w:color="auto"/>
        <w:left w:val="none" w:sz="0" w:space="0" w:color="auto"/>
        <w:bottom w:val="none" w:sz="0" w:space="0" w:color="auto"/>
        <w:right w:val="none" w:sz="0" w:space="0" w:color="auto"/>
      </w:divBdr>
    </w:div>
    <w:div w:id="655694339">
      <w:bodyDiv w:val="1"/>
      <w:marLeft w:val="0"/>
      <w:marRight w:val="0"/>
      <w:marTop w:val="0"/>
      <w:marBottom w:val="0"/>
      <w:divBdr>
        <w:top w:val="none" w:sz="0" w:space="0" w:color="auto"/>
        <w:left w:val="none" w:sz="0" w:space="0" w:color="auto"/>
        <w:bottom w:val="none" w:sz="0" w:space="0" w:color="auto"/>
        <w:right w:val="none" w:sz="0" w:space="0" w:color="auto"/>
      </w:divBdr>
    </w:div>
    <w:div w:id="662124376">
      <w:bodyDiv w:val="1"/>
      <w:marLeft w:val="0"/>
      <w:marRight w:val="0"/>
      <w:marTop w:val="0"/>
      <w:marBottom w:val="0"/>
      <w:divBdr>
        <w:top w:val="none" w:sz="0" w:space="0" w:color="auto"/>
        <w:left w:val="none" w:sz="0" w:space="0" w:color="auto"/>
        <w:bottom w:val="none" w:sz="0" w:space="0" w:color="auto"/>
        <w:right w:val="none" w:sz="0" w:space="0" w:color="auto"/>
      </w:divBdr>
    </w:div>
    <w:div w:id="687370631">
      <w:bodyDiv w:val="1"/>
      <w:marLeft w:val="0"/>
      <w:marRight w:val="0"/>
      <w:marTop w:val="0"/>
      <w:marBottom w:val="0"/>
      <w:divBdr>
        <w:top w:val="none" w:sz="0" w:space="0" w:color="auto"/>
        <w:left w:val="none" w:sz="0" w:space="0" w:color="auto"/>
        <w:bottom w:val="none" w:sz="0" w:space="0" w:color="auto"/>
        <w:right w:val="none" w:sz="0" w:space="0" w:color="auto"/>
      </w:divBdr>
    </w:div>
    <w:div w:id="690760782">
      <w:bodyDiv w:val="1"/>
      <w:marLeft w:val="0"/>
      <w:marRight w:val="0"/>
      <w:marTop w:val="0"/>
      <w:marBottom w:val="0"/>
      <w:divBdr>
        <w:top w:val="none" w:sz="0" w:space="0" w:color="auto"/>
        <w:left w:val="none" w:sz="0" w:space="0" w:color="auto"/>
        <w:bottom w:val="none" w:sz="0" w:space="0" w:color="auto"/>
        <w:right w:val="none" w:sz="0" w:space="0" w:color="auto"/>
      </w:divBdr>
    </w:div>
    <w:div w:id="693073790">
      <w:bodyDiv w:val="1"/>
      <w:marLeft w:val="0"/>
      <w:marRight w:val="0"/>
      <w:marTop w:val="0"/>
      <w:marBottom w:val="0"/>
      <w:divBdr>
        <w:top w:val="none" w:sz="0" w:space="0" w:color="auto"/>
        <w:left w:val="none" w:sz="0" w:space="0" w:color="auto"/>
        <w:bottom w:val="none" w:sz="0" w:space="0" w:color="auto"/>
        <w:right w:val="none" w:sz="0" w:space="0" w:color="auto"/>
      </w:divBdr>
    </w:div>
    <w:div w:id="694699192">
      <w:bodyDiv w:val="1"/>
      <w:marLeft w:val="0"/>
      <w:marRight w:val="0"/>
      <w:marTop w:val="0"/>
      <w:marBottom w:val="0"/>
      <w:divBdr>
        <w:top w:val="none" w:sz="0" w:space="0" w:color="auto"/>
        <w:left w:val="none" w:sz="0" w:space="0" w:color="auto"/>
        <w:bottom w:val="none" w:sz="0" w:space="0" w:color="auto"/>
        <w:right w:val="none" w:sz="0" w:space="0" w:color="auto"/>
      </w:divBdr>
    </w:div>
    <w:div w:id="701250863">
      <w:bodyDiv w:val="1"/>
      <w:marLeft w:val="0"/>
      <w:marRight w:val="0"/>
      <w:marTop w:val="0"/>
      <w:marBottom w:val="0"/>
      <w:divBdr>
        <w:top w:val="none" w:sz="0" w:space="0" w:color="auto"/>
        <w:left w:val="none" w:sz="0" w:space="0" w:color="auto"/>
        <w:bottom w:val="none" w:sz="0" w:space="0" w:color="auto"/>
        <w:right w:val="none" w:sz="0" w:space="0" w:color="auto"/>
      </w:divBdr>
    </w:div>
    <w:div w:id="708996203">
      <w:bodyDiv w:val="1"/>
      <w:marLeft w:val="0"/>
      <w:marRight w:val="0"/>
      <w:marTop w:val="0"/>
      <w:marBottom w:val="0"/>
      <w:divBdr>
        <w:top w:val="none" w:sz="0" w:space="0" w:color="auto"/>
        <w:left w:val="none" w:sz="0" w:space="0" w:color="auto"/>
        <w:bottom w:val="none" w:sz="0" w:space="0" w:color="auto"/>
        <w:right w:val="none" w:sz="0" w:space="0" w:color="auto"/>
      </w:divBdr>
    </w:div>
    <w:div w:id="722482102">
      <w:bodyDiv w:val="1"/>
      <w:marLeft w:val="0"/>
      <w:marRight w:val="0"/>
      <w:marTop w:val="0"/>
      <w:marBottom w:val="0"/>
      <w:divBdr>
        <w:top w:val="none" w:sz="0" w:space="0" w:color="auto"/>
        <w:left w:val="none" w:sz="0" w:space="0" w:color="auto"/>
        <w:bottom w:val="none" w:sz="0" w:space="0" w:color="auto"/>
        <w:right w:val="none" w:sz="0" w:space="0" w:color="auto"/>
      </w:divBdr>
    </w:div>
    <w:div w:id="723019284">
      <w:bodyDiv w:val="1"/>
      <w:marLeft w:val="0"/>
      <w:marRight w:val="0"/>
      <w:marTop w:val="0"/>
      <w:marBottom w:val="0"/>
      <w:divBdr>
        <w:top w:val="none" w:sz="0" w:space="0" w:color="auto"/>
        <w:left w:val="none" w:sz="0" w:space="0" w:color="auto"/>
        <w:bottom w:val="none" w:sz="0" w:space="0" w:color="auto"/>
        <w:right w:val="none" w:sz="0" w:space="0" w:color="auto"/>
      </w:divBdr>
    </w:div>
    <w:div w:id="734547124">
      <w:bodyDiv w:val="1"/>
      <w:marLeft w:val="0"/>
      <w:marRight w:val="0"/>
      <w:marTop w:val="0"/>
      <w:marBottom w:val="0"/>
      <w:divBdr>
        <w:top w:val="none" w:sz="0" w:space="0" w:color="auto"/>
        <w:left w:val="none" w:sz="0" w:space="0" w:color="auto"/>
        <w:bottom w:val="none" w:sz="0" w:space="0" w:color="auto"/>
        <w:right w:val="none" w:sz="0" w:space="0" w:color="auto"/>
      </w:divBdr>
    </w:div>
    <w:div w:id="761873329">
      <w:bodyDiv w:val="1"/>
      <w:marLeft w:val="0"/>
      <w:marRight w:val="0"/>
      <w:marTop w:val="0"/>
      <w:marBottom w:val="0"/>
      <w:divBdr>
        <w:top w:val="none" w:sz="0" w:space="0" w:color="auto"/>
        <w:left w:val="none" w:sz="0" w:space="0" w:color="auto"/>
        <w:bottom w:val="none" w:sz="0" w:space="0" w:color="auto"/>
        <w:right w:val="none" w:sz="0" w:space="0" w:color="auto"/>
      </w:divBdr>
    </w:div>
    <w:div w:id="781994278">
      <w:bodyDiv w:val="1"/>
      <w:marLeft w:val="0"/>
      <w:marRight w:val="0"/>
      <w:marTop w:val="0"/>
      <w:marBottom w:val="0"/>
      <w:divBdr>
        <w:top w:val="none" w:sz="0" w:space="0" w:color="auto"/>
        <w:left w:val="none" w:sz="0" w:space="0" w:color="auto"/>
        <w:bottom w:val="none" w:sz="0" w:space="0" w:color="auto"/>
        <w:right w:val="none" w:sz="0" w:space="0" w:color="auto"/>
      </w:divBdr>
    </w:div>
    <w:div w:id="791557268">
      <w:bodyDiv w:val="1"/>
      <w:marLeft w:val="0"/>
      <w:marRight w:val="0"/>
      <w:marTop w:val="0"/>
      <w:marBottom w:val="0"/>
      <w:divBdr>
        <w:top w:val="none" w:sz="0" w:space="0" w:color="auto"/>
        <w:left w:val="none" w:sz="0" w:space="0" w:color="auto"/>
        <w:bottom w:val="none" w:sz="0" w:space="0" w:color="auto"/>
        <w:right w:val="none" w:sz="0" w:space="0" w:color="auto"/>
      </w:divBdr>
    </w:div>
    <w:div w:id="814681374">
      <w:bodyDiv w:val="1"/>
      <w:marLeft w:val="0"/>
      <w:marRight w:val="0"/>
      <w:marTop w:val="0"/>
      <w:marBottom w:val="0"/>
      <w:divBdr>
        <w:top w:val="none" w:sz="0" w:space="0" w:color="auto"/>
        <w:left w:val="none" w:sz="0" w:space="0" w:color="auto"/>
        <w:bottom w:val="none" w:sz="0" w:space="0" w:color="auto"/>
        <w:right w:val="none" w:sz="0" w:space="0" w:color="auto"/>
      </w:divBdr>
    </w:div>
    <w:div w:id="884492120">
      <w:bodyDiv w:val="1"/>
      <w:marLeft w:val="0"/>
      <w:marRight w:val="0"/>
      <w:marTop w:val="0"/>
      <w:marBottom w:val="0"/>
      <w:divBdr>
        <w:top w:val="none" w:sz="0" w:space="0" w:color="auto"/>
        <w:left w:val="none" w:sz="0" w:space="0" w:color="auto"/>
        <w:bottom w:val="none" w:sz="0" w:space="0" w:color="auto"/>
        <w:right w:val="none" w:sz="0" w:space="0" w:color="auto"/>
      </w:divBdr>
    </w:div>
    <w:div w:id="893155763">
      <w:bodyDiv w:val="1"/>
      <w:marLeft w:val="0"/>
      <w:marRight w:val="0"/>
      <w:marTop w:val="0"/>
      <w:marBottom w:val="0"/>
      <w:divBdr>
        <w:top w:val="none" w:sz="0" w:space="0" w:color="auto"/>
        <w:left w:val="none" w:sz="0" w:space="0" w:color="auto"/>
        <w:bottom w:val="none" w:sz="0" w:space="0" w:color="auto"/>
        <w:right w:val="none" w:sz="0" w:space="0" w:color="auto"/>
      </w:divBdr>
    </w:div>
    <w:div w:id="906719314">
      <w:bodyDiv w:val="1"/>
      <w:marLeft w:val="0"/>
      <w:marRight w:val="0"/>
      <w:marTop w:val="0"/>
      <w:marBottom w:val="0"/>
      <w:divBdr>
        <w:top w:val="none" w:sz="0" w:space="0" w:color="auto"/>
        <w:left w:val="none" w:sz="0" w:space="0" w:color="auto"/>
        <w:bottom w:val="none" w:sz="0" w:space="0" w:color="auto"/>
        <w:right w:val="none" w:sz="0" w:space="0" w:color="auto"/>
      </w:divBdr>
    </w:div>
    <w:div w:id="925843377">
      <w:bodyDiv w:val="1"/>
      <w:marLeft w:val="0"/>
      <w:marRight w:val="0"/>
      <w:marTop w:val="0"/>
      <w:marBottom w:val="0"/>
      <w:divBdr>
        <w:top w:val="none" w:sz="0" w:space="0" w:color="auto"/>
        <w:left w:val="none" w:sz="0" w:space="0" w:color="auto"/>
        <w:bottom w:val="none" w:sz="0" w:space="0" w:color="auto"/>
        <w:right w:val="none" w:sz="0" w:space="0" w:color="auto"/>
      </w:divBdr>
    </w:div>
    <w:div w:id="926496040">
      <w:bodyDiv w:val="1"/>
      <w:marLeft w:val="0"/>
      <w:marRight w:val="0"/>
      <w:marTop w:val="0"/>
      <w:marBottom w:val="0"/>
      <w:divBdr>
        <w:top w:val="none" w:sz="0" w:space="0" w:color="auto"/>
        <w:left w:val="none" w:sz="0" w:space="0" w:color="auto"/>
        <w:bottom w:val="none" w:sz="0" w:space="0" w:color="auto"/>
        <w:right w:val="none" w:sz="0" w:space="0" w:color="auto"/>
      </w:divBdr>
    </w:div>
    <w:div w:id="933054005">
      <w:bodyDiv w:val="1"/>
      <w:marLeft w:val="0"/>
      <w:marRight w:val="0"/>
      <w:marTop w:val="0"/>
      <w:marBottom w:val="0"/>
      <w:divBdr>
        <w:top w:val="none" w:sz="0" w:space="0" w:color="auto"/>
        <w:left w:val="none" w:sz="0" w:space="0" w:color="auto"/>
        <w:bottom w:val="none" w:sz="0" w:space="0" w:color="auto"/>
        <w:right w:val="none" w:sz="0" w:space="0" w:color="auto"/>
      </w:divBdr>
    </w:div>
    <w:div w:id="937444652">
      <w:bodyDiv w:val="1"/>
      <w:marLeft w:val="0"/>
      <w:marRight w:val="0"/>
      <w:marTop w:val="0"/>
      <w:marBottom w:val="0"/>
      <w:divBdr>
        <w:top w:val="none" w:sz="0" w:space="0" w:color="auto"/>
        <w:left w:val="none" w:sz="0" w:space="0" w:color="auto"/>
        <w:bottom w:val="none" w:sz="0" w:space="0" w:color="auto"/>
        <w:right w:val="none" w:sz="0" w:space="0" w:color="auto"/>
      </w:divBdr>
    </w:div>
    <w:div w:id="938026246">
      <w:bodyDiv w:val="1"/>
      <w:marLeft w:val="0"/>
      <w:marRight w:val="0"/>
      <w:marTop w:val="0"/>
      <w:marBottom w:val="0"/>
      <w:divBdr>
        <w:top w:val="none" w:sz="0" w:space="0" w:color="auto"/>
        <w:left w:val="none" w:sz="0" w:space="0" w:color="auto"/>
        <w:bottom w:val="none" w:sz="0" w:space="0" w:color="auto"/>
        <w:right w:val="none" w:sz="0" w:space="0" w:color="auto"/>
      </w:divBdr>
    </w:div>
    <w:div w:id="1010570415">
      <w:bodyDiv w:val="1"/>
      <w:marLeft w:val="0"/>
      <w:marRight w:val="0"/>
      <w:marTop w:val="0"/>
      <w:marBottom w:val="0"/>
      <w:divBdr>
        <w:top w:val="none" w:sz="0" w:space="0" w:color="auto"/>
        <w:left w:val="none" w:sz="0" w:space="0" w:color="auto"/>
        <w:bottom w:val="none" w:sz="0" w:space="0" w:color="auto"/>
        <w:right w:val="none" w:sz="0" w:space="0" w:color="auto"/>
      </w:divBdr>
    </w:div>
    <w:div w:id="1012419551">
      <w:bodyDiv w:val="1"/>
      <w:marLeft w:val="0"/>
      <w:marRight w:val="0"/>
      <w:marTop w:val="0"/>
      <w:marBottom w:val="0"/>
      <w:divBdr>
        <w:top w:val="none" w:sz="0" w:space="0" w:color="auto"/>
        <w:left w:val="none" w:sz="0" w:space="0" w:color="auto"/>
        <w:bottom w:val="none" w:sz="0" w:space="0" w:color="auto"/>
        <w:right w:val="none" w:sz="0" w:space="0" w:color="auto"/>
      </w:divBdr>
    </w:div>
    <w:div w:id="1021588832">
      <w:bodyDiv w:val="1"/>
      <w:marLeft w:val="0"/>
      <w:marRight w:val="0"/>
      <w:marTop w:val="0"/>
      <w:marBottom w:val="0"/>
      <w:divBdr>
        <w:top w:val="none" w:sz="0" w:space="0" w:color="auto"/>
        <w:left w:val="none" w:sz="0" w:space="0" w:color="auto"/>
        <w:bottom w:val="none" w:sz="0" w:space="0" w:color="auto"/>
        <w:right w:val="none" w:sz="0" w:space="0" w:color="auto"/>
      </w:divBdr>
    </w:div>
    <w:div w:id="1024984448">
      <w:bodyDiv w:val="1"/>
      <w:marLeft w:val="0"/>
      <w:marRight w:val="0"/>
      <w:marTop w:val="0"/>
      <w:marBottom w:val="0"/>
      <w:divBdr>
        <w:top w:val="none" w:sz="0" w:space="0" w:color="auto"/>
        <w:left w:val="none" w:sz="0" w:space="0" w:color="auto"/>
        <w:bottom w:val="none" w:sz="0" w:space="0" w:color="auto"/>
        <w:right w:val="none" w:sz="0" w:space="0" w:color="auto"/>
      </w:divBdr>
    </w:div>
    <w:div w:id="1042482168">
      <w:bodyDiv w:val="1"/>
      <w:marLeft w:val="0"/>
      <w:marRight w:val="0"/>
      <w:marTop w:val="0"/>
      <w:marBottom w:val="0"/>
      <w:divBdr>
        <w:top w:val="none" w:sz="0" w:space="0" w:color="auto"/>
        <w:left w:val="none" w:sz="0" w:space="0" w:color="auto"/>
        <w:bottom w:val="none" w:sz="0" w:space="0" w:color="auto"/>
        <w:right w:val="none" w:sz="0" w:space="0" w:color="auto"/>
      </w:divBdr>
    </w:div>
    <w:div w:id="1046950322">
      <w:bodyDiv w:val="1"/>
      <w:marLeft w:val="0"/>
      <w:marRight w:val="0"/>
      <w:marTop w:val="0"/>
      <w:marBottom w:val="0"/>
      <w:divBdr>
        <w:top w:val="none" w:sz="0" w:space="0" w:color="auto"/>
        <w:left w:val="none" w:sz="0" w:space="0" w:color="auto"/>
        <w:bottom w:val="none" w:sz="0" w:space="0" w:color="auto"/>
        <w:right w:val="none" w:sz="0" w:space="0" w:color="auto"/>
      </w:divBdr>
    </w:div>
    <w:div w:id="1108087554">
      <w:bodyDiv w:val="1"/>
      <w:marLeft w:val="0"/>
      <w:marRight w:val="0"/>
      <w:marTop w:val="0"/>
      <w:marBottom w:val="0"/>
      <w:divBdr>
        <w:top w:val="none" w:sz="0" w:space="0" w:color="auto"/>
        <w:left w:val="none" w:sz="0" w:space="0" w:color="auto"/>
        <w:bottom w:val="none" w:sz="0" w:space="0" w:color="auto"/>
        <w:right w:val="none" w:sz="0" w:space="0" w:color="auto"/>
      </w:divBdr>
    </w:div>
    <w:div w:id="1127553111">
      <w:bodyDiv w:val="1"/>
      <w:marLeft w:val="0"/>
      <w:marRight w:val="0"/>
      <w:marTop w:val="0"/>
      <w:marBottom w:val="0"/>
      <w:divBdr>
        <w:top w:val="none" w:sz="0" w:space="0" w:color="auto"/>
        <w:left w:val="none" w:sz="0" w:space="0" w:color="auto"/>
        <w:bottom w:val="none" w:sz="0" w:space="0" w:color="auto"/>
        <w:right w:val="none" w:sz="0" w:space="0" w:color="auto"/>
      </w:divBdr>
    </w:div>
    <w:div w:id="1134518310">
      <w:bodyDiv w:val="1"/>
      <w:marLeft w:val="0"/>
      <w:marRight w:val="0"/>
      <w:marTop w:val="0"/>
      <w:marBottom w:val="0"/>
      <w:divBdr>
        <w:top w:val="none" w:sz="0" w:space="0" w:color="auto"/>
        <w:left w:val="none" w:sz="0" w:space="0" w:color="auto"/>
        <w:bottom w:val="none" w:sz="0" w:space="0" w:color="auto"/>
        <w:right w:val="none" w:sz="0" w:space="0" w:color="auto"/>
      </w:divBdr>
    </w:div>
    <w:div w:id="1153983204">
      <w:bodyDiv w:val="1"/>
      <w:marLeft w:val="0"/>
      <w:marRight w:val="0"/>
      <w:marTop w:val="0"/>
      <w:marBottom w:val="0"/>
      <w:divBdr>
        <w:top w:val="none" w:sz="0" w:space="0" w:color="auto"/>
        <w:left w:val="none" w:sz="0" w:space="0" w:color="auto"/>
        <w:bottom w:val="none" w:sz="0" w:space="0" w:color="auto"/>
        <w:right w:val="none" w:sz="0" w:space="0" w:color="auto"/>
      </w:divBdr>
    </w:div>
    <w:div w:id="1173178816">
      <w:bodyDiv w:val="1"/>
      <w:marLeft w:val="0"/>
      <w:marRight w:val="0"/>
      <w:marTop w:val="0"/>
      <w:marBottom w:val="0"/>
      <w:divBdr>
        <w:top w:val="none" w:sz="0" w:space="0" w:color="auto"/>
        <w:left w:val="none" w:sz="0" w:space="0" w:color="auto"/>
        <w:bottom w:val="none" w:sz="0" w:space="0" w:color="auto"/>
        <w:right w:val="none" w:sz="0" w:space="0" w:color="auto"/>
      </w:divBdr>
    </w:div>
    <w:div w:id="1211112895">
      <w:bodyDiv w:val="1"/>
      <w:marLeft w:val="0"/>
      <w:marRight w:val="0"/>
      <w:marTop w:val="0"/>
      <w:marBottom w:val="0"/>
      <w:divBdr>
        <w:top w:val="none" w:sz="0" w:space="0" w:color="auto"/>
        <w:left w:val="none" w:sz="0" w:space="0" w:color="auto"/>
        <w:bottom w:val="none" w:sz="0" w:space="0" w:color="auto"/>
        <w:right w:val="none" w:sz="0" w:space="0" w:color="auto"/>
      </w:divBdr>
    </w:div>
    <w:div w:id="1230188540">
      <w:bodyDiv w:val="1"/>
      <w:marLeft w:val="0"/>
      <w:marRight w:val="0"/>
      <w:marTop w:val="0"/>
      <w:marBottom w:val="0"/>
      <w:divBdr>
        <w:top w:val="none" w:sz="0" w:space="0" w:color="auto"/>
        <w:left w:val="none" w:sz="0" w:space="0" w:color="auto"/>
        <w:bottom w:val="none" w:sz="0" w:space="0" w:color="auto"/>
        <w:right w:val="none" w:sz="0" w:space="0" w:color="auto"/>
      </w:divBdr>
    </w:div>
    <w:div w:id="1254439051">
      <w:bodyDiv w:val="1"/>
      <w:marLeft w:val="0"/>
      <w:marRight w:val="0"/>
      <w:marTop w:val="0"/>
      <w:marBottom w:val="0"/>
      <w:divBdr>
        <w:top w:val="none" w:sz="0" w:space="0" w:color="auto"/>
        <w:left w:val="none" w:sz="0" w:space="0" w:color="auto"/>
        <w:bottom w:val="none" w:sz="0" w:space="0" w:color="auto"/>
        <w:right w:val="none" w:sz="0" w:space="0" w:color="auto"/>
      </w:divBdr>
      <w:divsChild>
        <w:div w:id="1138064519">
          <w:marLeft w:val="0"/>
          <w:marRight w:val="0"/>
          <w:marTop w:val="0"/>
          <w:marBottom w:val="0"/>
          <w:divBdr>
            <w:top w:val="none" w:sz="0" w:space="0" w:color="auto"/>
            <w:left w:val="none" w:sz="0" w:space="0" w:color="auto"/>
            <w:bottom w:val="none" w:sz="0" w:space="0" w:color="auto"/>
            <w:right w:val="none" w:sz="0" w:space="0" w:color="auto"/>
          </w:divBdr>
        </w:div>
        <w:div w:id="42559126">
          <w:marLeft w:val="0"/>
          <w:marRight w:val="0"/>
          <w:marTop w:val="0"/>
          <w:marBottom w:val="0"/>
          <w:divBdr>
            <w:top w:val="none" w:sz="0" w:space="0" w:color="auto"/>
            <w:left w:val="none" w:sz="0" w:space="0" w:color="auto"/>
            <w:bottom w:val="none" w:sz="0" w:space="0" w:color="auto"/>
            <w:right w:val="none" w:sz="0" w:space="0" w:color="auto"/>
          </w:divBdr>
        </w:div>
        <w:div w:id="697585290">
          <w:marLeft w:val="0"/>
          <w:marRight w:val="0"/>
          <w:marTop w:val="0"/>
          <w:marBottom w:val="0"/>
          <w:divBdr>
            <w:top w:val="none" w:sz="0" w:space="0" w:color="auto"/>
            <w:left w:val="none" w:sz="0" w:space="0" w:color="auto"/>
            <w:bottom w:val="none" w:sz="0" w:space="0" w:color="auto"/>
            <w:right w:val="none" w:sz="0" w:space="0" w:color="auto"/>
          </w:divBdr>
        </w:div>
        <w:div w:id="325474492">
          <w:marLeft w:val="0"/>
          <w:marRight w:val="0"/>
          <w:marTop w:val="0"/>
          <w:marBottom w:val="0"/>
          <w:divBdr>
            <w:top w:val="none" w:sz="0" w:space="0" w:color="auto"/>
            <w:left w:val="none" w:sz="0" w:space="0" w:color="auto"/>
            <w:bottom w:val="none" w:sz="0" w:space="0" w:color="auto"/>
            <w:right w:val="none" w:sz="0" w:space="0" w:color="auto"/>
          </w:divBdr>
        </w:div>
        <w:div w:id="1273585302">
          <w:marLeft w:val="0"/>
          <w:marRight w:val="0"/>
          <w:marTop w:val="0"/>
          <w:marBottom w:val="0"/>
          <w:divBdr>
            <w:top w:val="none" w:sz="0" w:space="0" w:color="auto"/>
            <w:left w:val="none" w:sz="0" w:space="0" w:color="auto"/>
            <w:bottom w:val="none" w:sz="0" w:space="0" w:color="auto"/>
            <w:right w:val="none" w:sz="0" w:space="0" w:color="auto"/>
          </w:divBdr>
        </w:div>
      </w:divsChild>
    </w:div>
    <w:div w:id="1267494173">
      <w:bodyDiv w:val="1"/>
      <w:marLeft w:val="0"/>
      <w:marRight w:val="0"/>
      <w:marTop w:val="0"/>
      <w:marBottom w:val="0"/>
      <w:divBdr>
        <w:top w:val="none" w:sz="0" w:space="0" w:color="auto"/>
        <w:left w:val="none" w:sz="0" w:space="0" w:color="auto"/>
        <w:bottom w:val="none" w:sz="0" w:space="0" w:color="auto"/>
        <w:right w:val="none" w:sz="0" w:space="0" w:color="auto"/>
      </w:divBdr>
    </w:div>
    <w:div w:id="1282031163">
      <w:bodyDiv w:val="1"/>
      <w:marLeft w:val="0"/>
      <w:marRight w:val="0"/>
      <w:marTop w:val="0"/>
      <w:marBottom w:val="0"/>
      <w:divBdr>
        <w:top w:val="none" w:sz="0" w:space="0" w:color="auto"/>
        <w:left w:val="none" w:sz="0" w:space="0" w:color="auto"/>
        <w:bottom w:val="none" w:sz="0" w:space="0" w:color="auto"/>
        <w:right w:val="none" w:sz="0" w:space="0" w:color="auto"/>
      </w:divBdr>
    </w:div>
    <w:div w:id="1297763083">
      <w:bodyDiv w:val="1"/>
      <w:marLeft w:val="0"/>
      <w:marRight w:val="0"/>
      <w:marTop w:val="0"/>
      <w:marBottom w:val="0"/>
      <w:divBdr>
        <w:top w:val="none" w:sz="0" w:space="0" w:color="auto"/>
        <w:left w:val="none" w:sz="0" w:space="0" w:color="auto"/>
        <w:bottom w:val="none" w:sz="0" w:space="0" w:color="auto"/>
        <w:right w:val="none" w:sz="0" w:space="0" w:color="auto"/>
      </w:divBdr>
    </w:div>
    <w:div w:id="1300650987">
      <w:bodyDiv w:val="1"/>
      <w:marLeft w:val="0"/>
      <w:marRight w:val="0"/>
      <w:marTop w:val="0"/>
      <w:marBottom w:val="0"/>
      <w:divBdr>
        <w:top w:val="none" w:sz="0" w:space="0" w:color="auto"/>
        <w:left w:val="none" w:sz="0" w:space="0" w:color="auto"/>
        <w:bottom w:val="none" w:sz="0" w:space="0" w:color="auto"/>
        <w:right w:val="none" w:sz="0" w:space="0" w:color="auto"/>
      </w:divBdr>
    </w:div>
    <w:div w:id="1336422364">
      <w:bodyDiv w:val="1"/>
      <w:marLeft w:val="0"/>
      <w:marRight w:val="0"/>
      <w:marTop w:val="0"/>
      <w:marBottom w:val="0"/>
      <w:divBdr>
        <w:top w:val="none" w:sz="0" w:space="0" w:color="auto"/>
        <w:left w:val="none" w:sz="0" w:space="0" w:color="auto"/>
        <w:bottom w:val="none" w:sz="0" w:space="0" w:color="auto"/>
        <w:right w:val="none" w:sz="0" w:space="0" w:color="auto"/>
      </w:divBdr>
    </w:div>
    <w:div w:id="1339115234">
      <w:bodyDiv w:val="1"/>
      <w:marLeft w:val="0"/>
      <w:marRight w:val="0"/>
      <w:marTop w:val="0"/>
      <w:marBottom w:val="0"/>
      <w:divBdr>
        <w:top w:val="none" w:sz="0" w:space="0" w:color="auto"/>
        <w:left w:val="none" w:sz="0" w:space="0" w:color="auto"/>
        <w:bottom w:val="none" w:sz="0" w:space="0" w:color="auto"/>
        <w:right w:val="none" w:sz="0" w:space="0" w:color="auto"/>
      </w:divBdr>
    </w:div>
    <w:div w:id="1355496880">
      <w:bodyDiv w:val="1"/>
      <w:marLeft w:val="0"/>
      <w:marRight w:val="0"/>
      <w:marTop w:val="0"/>
      <w:marBottom w:val="0"/>
      <w:divBdr>
        <w:top w:val="none" w:sz="0" w:space="0" w:color="auto"/>
        <w:left w:val="none" w:sz="0" w:space="0" w:color="auto"/>
        <w:bottom w:val="none" w:sz="0" w:space="0" w:color="auto"/>
        <w:right w:val="none" w:sz="0" w:space="0" w:color="auto"/>
      </w:divBdr>
    </w:div>
    <w:div w:id="1377967480">
      <w:bodyDiv w:val="1"/>
      <w:marLeft w:val="0"/>
      <w:marRight w:val="0"/>
      <w:marTop w:val="0"/>
      <w:marBottom w:val="0"/>
      <w:divBdr>
        <w:top w:val="none" w:sz="0" w:space="0" w:color="auto"/>
        <w:left w:val="none" w:sz="0" w:space="0" w:color="auto"/>
        <w:bottom w:val="none" w:sz="0" w:space="0" w:color="auto"/>
        <w:right w:val="none" w:sz="0" w:space="0" w:color="auto"/>
      </w:divBdr>
    </w:div>
    <w:div w:id="1387492525">
      <w:bodyDiv w:val="1"/>
      <w:marLeft w:val="0"/>
      <w:marRight w:val="0"/>
      <w:marTop w:val="0"/>
      <w:marBottom w:val="0"/>
      <w:divBdr>
        <w:top w:val="none" w:sz="0" w:space="0" w:color="auto"/>
        <w:left w:val="none" w:sz="0" w:space="0" w:color="auto"/>
        <w:bottom w:val="none" w:sz="0" w:space="0" w:color="auto"/>
        <w:right w:val="none" w:sz="0" w:space="0" w:color="auto"/>
      </w:divBdr>
    </w:div>
    <w:div w:id="1389065533">
      <w:bodyDiv w:val="1"/>
      <w:marLeft w:val="0"/>
      <w:marRight w:val="0"/>
      <w:marTop w:val="0"/>
      <w:marBottom w:val="0"/>
      <w:divBdr>
        <w:top w:val="none" w:sz="0" w:space="0" w:color="auto"/>
        <w:left w:val="none" w:sz="0" w:space="0" w:color="auto"/>
        <w:bottom w:val="none" w:sz="0" w:space="0" w:color="auto"/>
        <w:right w:val="none" w:sz="0" w:space="0" w:color="auto"/>
      </w:divBdr>
    </w:div>
    <w:div w:id="1395155494">
      <w:bodyDiv w:val="1"/>
      <w:marLeft w:val="0"/>
      <w:marRight w:val="0"/>
      <w:marTop w:val="0"/>
      <w:marBottom w:val="0"/>
      <w:divBdr>
        <w:top w:val="none" w:sz="0" w:space="0" w:color="auto"/>
        <w:left w:val="none" w:sz="0" w:space="0" w:color="auto"/>
        <w:bottom w:val="none" w:sz="0" w:space="0" w:color="auto"/>
        <w:right w:val="none" w:sz="0" w:space="0" w:color="auto"/>
      </w:divBdr>
    </w:div>
    <w:div w:id="1427114118">
      <w:bodyDiv w:val="1"/>
      <w:marLeft w:val="0"/>
      <w:marRight w:val="0"/>
      <w:marTop w:val="0"/>
      <w:marBottom w:val="0"/>
      <w:divBdr>
        <w:top w:val="none" w:sz="0" w:space="0" w:color="auto"/>
        <w:left w:val="none" w:sz="0" w:space="0" w:color="auto"/>
        <w:bottom w:val="none" w:sz="0" w:space="0" w:color="auto"/>
        <w:right w:val="none" w:sz="0" w:space="0" w:color="auto"/>
      </w:divBdr>
    </w:div>
    <w:div w:id="1440639433">
      <w:bodyDiv w:val="1"/>
      <w:marLeft w:val="0"/>
      <w:marRight w:val="0"/>
      <w:marTop w:val="0"/>
      <w:marBottom w:val="0"/>
      <w:divBdr>
        <w:top w:val="none" w:sz="0" w:space="0" w:color="auto"/>
        <w:left w:val="none" w:sz="0" w:space="0" w:color="auto"/>
        <w:bottom w:val="none" w:sz="0" w:space="0" w:color="auto"/>
        <w:right w:val="none" w:sz="0" w:space="0" w:color="auto"/>
      </w:divBdr>
    </w:div>
    <w:div w:id="1446735978">
      <w:bodyDiv w:val="1"/>
      <w:marLeft w:val="0"/>
      <w:marRight w:val="0"/>
      <w:marTop w:val="0"/>
      <w:marBottom w:val="0"/>
      <w:divBdr>
        <w:top w:val="none" w:sz="0" w:space="0" w:color="auto"/>
        <w:left w:val="none" w:sz="0" w:space="0" w:color="auto"/>
        <w:bottom w:val="none" w:sz="0" w:space="0" w:color="auto"/>
        <w:right w:val="none" w:sz="0" w:space="0" w:color="auto"/>
      </w:divBdr>
    </w:div>
    <w:div w:id="1450512551">
      <w:bodyDiv w:val="1"/>
      <w:marLeft w:val="0"/>
      <w:marRight w:val="0"/>
      <w:marTop w:val="0"/>
      <w:marBottom w:val="0"/>
      <w:divBdr>
        <w:top w:val="none" w:sz="0" w:space="0" w:color="auto"/>
        <w:left w:val="none" w:sz="0" w:space="0" w:color="auto"/>
        <w:bottom w:val="none" w:sz="0" w:space="0" w:color="auto"/>
        <w:right w:val="none" w:sz="0" w:space="0" w:color="auto"/>
      </w:divBdr>
    </w:div>
    <w:div w:id="1485077776">
      <w:bodyDiv w:val="1"/>
      <w:marLeft w:val="0"/>
      <w:marRight w:val="0"/>
      <w:marTop w:val="0"/>
      <w:marBottom w:val="0"/>
      <w:divBdr>
        <w:top w:val="none" w:sz="0" w:space="0" w:color="auto"/>
        <w:left w:val="none" w:sz="0" w:space="0" w:color="auto"/>
        <w:bottom w:val="none" w:sz="0" w:space="0" w:color="auto"/>
        <w:right w:val="none" w:sz="0" w:space="0" w:color="auto"/>
      </w:divBdr>
    </w:div>
    <w:div w:id="1517109672">
      <w:bodyDiv w:val="1"/>
      <w:marLeft w:val="0"/>
      <w:marRight w:val="0"/>
      <w:marTop w:val="0"/>
      <w:marBottom w:val="0"/>
      <w:divBdr>
        <w:top w:val="none" w:sz="0" w:space="0" w:color="auto"/>
        <w:left w:val="none" w:sz="0" w:space="0" w:color="auto"/>
        <w:bottom w:val="none" w:sz="0" w:space="0" w:color="auto"/>
        <w:right w:val="none" w:sz="0" w:space="0" w:color="auto"/>
      </w:divBdr>
    </w:div>
    <w:div w:id="1546210558">
      <w:bodyDiv w:val="1"/>
      <w:marLeft w:val="0"/>
      <w:marRight w:val="0"/>
      <w:marTop w:val="0"/>
      <w:marBottom w:val="0"/>
      <w:divBdr>
        <w:top w:val="none" w:sz="0" w:space="0" w:color="auto"/>
        <w:left w:val="none" w:sz="0" w:space="0" w:color="auto"/>
        <w:bottom w:val="none" w:sz="0" w:space="0" w:color="auto"/>
        <w:right w:val="none" w:sz="0" w:space="0" w:color="auto"/>
      </w:divBdr>
    </w:div>
    <w:div w:id="1547525978">
      <w:bodyDiv w:val="1"/>
      <w:marLeft w:val="0"/>
      <w:marRight w:val="0"/>
      <w:marTop w:val="0"/>
      <w:marBottom w:val="0"/>
      <w:divBdr>
        <w:top w:val="none" w:sz="0" w:space="0" w:color="auto"/>
        <w:left w:val="none" w:sz="0" w:space="0" w:color="auto"/>
        <w:bottom w:val="none" w:sz="0" w:space="0" w:color="auto"/>
        <w:right w:val="none" w:sz="0" w:space="0" w:color="auto"/>
      </w:divBdr>
    </w:div>
    <w:div w:id="1586381722">
      <w:bodyDiv w:val="1"/>
      <w:marLeft w:val="0"/>
      <w:marRight w:val="0"/>
      <w:marTop w:val="0"/>
      <w:marBottom w:val="0"/>
      <w:divBdr>
        <w:top w:val="none" w:sz="0" w:space="0" w:color="auto"/>
        <w:left w:val="none" w:sz="0" w:space="0" w:color="auto"/>
        <w:bottom w:val="none" w:sz="0" w:space="0" w:color="auto"/>
        <w:right w:val="none" w:sz="0" w:space="0" w:color="auto"/>
      </w:divBdr>
    </w:div>
    <w:div w:id="1595631548">
      <w:bodyDiv w:val="1"/>
      <w:marLeft w:val="0"/>
      <w:marRight w:val="0"/>
      <w:marTop w:val="0"/>
      <w:marBottom w:val="0"/>
      <w:divBdr>
        <w:top w:val="none" w:sz="0" w:space="0" w:color="auto"/>
        <w:left w:val="none" w:sz="0" w:space="0" w:color="auto"/>
        <w:bottom w:val="none" w:sz="0" w:space="0" w:color="auto"/>
        <w:right w:val="none" w:sz="0" w:space="0" w:color="auto"/>
      </w:divBdr>
    </w:div>
    <w:div w:id="1598636023">
      <w:bodyDiv w:val="1"/>
      <w:marLeft w:val="0"/>
      <w:marRight w:val="0"/>
      <w:marTop w:val="0"/>
      <w:marBottom w:val="0"/>
      <w:divBdr>
        <w:top w:val="none" w:sz="0" w:space="0" w:color="auto"/>
        <w:left w:val="none" w:sz="0" w:space="0" w:color="auto"/>
        <w:bottom w:val="none" w:sz="0" w:space="0" w:color="auto"/>
        <w:right w:val="none" w:sz="0" w:space="0" w:color="auto"/>
      </w:divBdr>
    </w:div>
    <w:div w:id="1639918378">
      <w:bodyDiv w:val="1"/>
      <w:marLeft w:val="0"/>
      <w:marRight w:val="0"/>
      <w:marTop w:val="0"/>
      <w:marBottom w:val="0"/>
      <w:divBdr>
        <w:top w:val="none" w:sz="0" w:space="0" w:color="auto"/>
        <w:left w:val="none" w:sz="0" w:space="0" w:color="auto"/>
        <w:bottom w:val="none" w:sz="0" w:space="0" w:color="auto"/>
        <w:right w:val="none" w:sz="0" w:space="0" w:color="auto"/>
      </w:divBdr>
    </w:div>
    <w:div w:id="1651401974">
      <w:bodyDiv w:val="1"/>
      <w:marLeft w:val="0"/>
      <w:marRight w:val="0"/>
      <w:marTop w:val="0"/>
      <w:marBottom w:val="0"/>
      <w:divBdr>
        <w:top w:val="none" w:sz="0" w:space="0" w:color="auto"/>
        <w:left w:val="none" w:sz="0" w:space="0" w:color="auto"/>
        <w:bottom w:val="none" w:sz="0" w:space="0" w:color="auto"/>
        <w:right w:val="none" w:sz="0" w:space="0" w:color="auto"/>
      </w:divBdr>
    </w:div>
    <w:div w:id="1682858849">
      <w:bodyDiv w:val="1"/>
      <w:marLeft w:val="0"/>
      <w:marRight w:val="0"/>
      <w:marTop w:val="0"/>
      <w:marBottom w:val="0"/>
      <w:divBdr>
        <w:top w:val="none" w:sz="0" w:space="0" w:color="auto"/>
        <w:left w:val="none" w:sz="0" w:space="0" w:color="auto"/>
        <w:bottom w:val="none" w:sz="0" w:space="0" w:color="auto"/>
        <w:right w:val="none" w:sz="0" w:space="0" w:color="auto"/>
      </w:divBdr>
    </w:div>
    <w:div w:id="1687289948">
      <w:bodyDiv w:val="1"/>
      <w:marLeft w:val="0"/>
      <w:marRight w:val="0"/>
      <w:marTop w:val="0"/>
      <w:marBottom w:val="0"/>
      <w:divBdr>
        <w:top w:val="none" w:sz="0" w:space="0" w:color="auto"/>
        <w:left w:val="none" w:sz="0" w:space="0" w:color="auto"/>
        <w:bottom w:val="none" w:sz="0" w:space="0" w:color="auto"/>
        <w:right w:val="none" w:sz="0" w:space="0" w:color="auto"/>
      </w:divBdr>
    </w:div>
    <w:div w:id="1697343549">
      <w:bodyDiv w:val="1"/>
      <w:marLeft w:val="0"/>
      <w:marRight w:val="0"/>
      <w:marTop w:val="0"/>
      <w:marBottom w:val="0"/>
      <w:divBdr>
        <w:top w:val="none" w:sz="0" w:space="0" w:color="auto"/>
        <w:left w:val="none" w:sz="0" w:space="0" w:color="auto"/>
        <w:bottom w:val="none" w:sz="0" w:space="0" w:color="auto"/>
        <w:right w:val="none" w:sz="0" w:space="0" w:color="auto"/>
      </w:divBdr>
    </w:div>
    <w:div w:id="1736119423">
      <w:bodyDiv w:val="1"/>
      <w:marLeft w:val="0"/>
      <w:marRight w:val="0"/>
      <w:marTop w:val="0"/>
      <w:marBottom w:val="0"/>
      <w:divBdr>
        <w:top w:val="none" w:sz="0" w:space="0" w:color="auto"/>
        <w:left w:val="none" w:sz="0" w:space="0" w:color="auto"/>
        <w:bottom w:val="none" w:sz="0" w:space="0" w:color="auto"/>
        <w:right w:val="none" w:sz="0" w:space="0" w:color="auto"/>
      </w:divBdr>
    </w:div>
    <w:div w:id="1741555088">
      <w:bodyDiv w:val="1"/>
      <w:marLeft w:val="0"/>
      <w:marRight w:val="0"/>
      <w:marTop w:val="0"/>
      <w:marBottom w:val="0"/>
      <w:divBdr>
        <w:top w:val="none" w:sz="0" w:space="0" w:color="auto"/>
        <w:left w:val="none" w:sz="0" w:space="0" w:color="auto"/>
        <w:bottom w:val="none" w:sz="0" w:space="0" w:color="auto"/>
        <w:right w:val="none" w:sz="0" w:space="0" w:color="auto"/>
      </w:divBdr>
    </w:div>
    <w:div w:id="1755518107">
      <w:bodyDiv w:val="1"/>
      <w:marLeft w:val="0"/>
      <w:marRight w:val="0"/>
      <w:marTop w:val="0"/>
      <w:marBottom w:val="0"/>
      <w:divBdr>
        <w:top w:val="none" w:sz="0" w:space="0" w:color="auto"/>
        <w:left w:val="none" w:sz="0" w:space="0" w:color="auto"/>
        <w:bottom w:val="none" w:sz="0" w:space="0" w:color="auto"/>
        <w:right w:val="none" w:sz="0" w:space="0" w:color="auto"/>
      </w:divBdr>
    </w:div>
    <w:div w:id="1764297651">
      <w:bodyDiv w:val="1"/>
      <w:marLeft w:val="0"/>
      <w:marRight w:val="0"/>
      <w:marTop w:val="0"/>
      <w:marBottom w:val="0"/>
      <w:divBdr>
        <w:top w:val="none" w:sz="0" w:space="0" w:color="auto"/>
        <w:left w:val="none" w:sz="0" w:space="0" w:color="auto"/>
        <w:bottom w:val="none" w:sz="0" w:space="0" w:color="auto"/>
        <w:right w:val="none" w:sz="0" w:space="0" w:color="auto"/>
      </w:divBdr>
    </w:div>
    <w:div w:id="1773889532">
      <w:bodyDiv w:val="1"/>
      <w:marLeft w:val="0"/>
      <w:marRight w:val="0"/>
      <w:marTop w:val="0"/>
      <w:marBottom w:val="0"/>
      <w:divBdr>
        <w:top w:val="none" w:sz="0" w:space="0" w:color="auto"/>
        <w:left w:val="none" w:sz="0" w:space="0" w:color="auto"/>
        <w:bottom w:val="none" w:sz="0" w:space="0" w:color="auto"/>
        <w:right w:val="none" w:sz="0" w:space="0" w:color="auto"/>
      </w:divBdr>
    </w:div>
    <w:div w:id="1790969521">
      <w:bodyDiv w:val="1"/>
      <w:marLeft w:val="0"/>
      <w:marRight w:val="0"/>
      <w:marTop w:val="0"/>
      <w:marBottom w:val="0"/>
      <w:divBdr>
        <w:top w:val="none" w:sz="0" w:space="0" w:color="auto"/>
        <w:left w:val="none" w:sz="0" w:space="0" w:color="auto"/>
        <w:bottom w:val="none" w:sz="0" w:space="0" w:color="auto"/>
        <w:right w:val="none" w:sz="0" w:space="0" w:color="auto"/>
      </w:divBdr>
    </w:div>
    <w:div w:id="1796174934">
      <w:bodyDiv w:val="1"/>
      <w:marLeft w:val="0"/>
      <w:marRight w:val="0"/>
      <w:marTop w:val="0"/>
      <w:marBottom w:val="0"/>
      <w:divBdr>
        <w:top w:val="none" w:sz="0" w:space="0" w:color="auto"/>
        <w:left w:val="none" w:sz="0" w:space="0" w:color="auto"/>
        <w:bottom w:val="none" w:sz="0" w:space="0" w:color="auto"/>
        <w:right w:val="none" w:sz="0" w:space="0" w:color="auto"/>
      </w:divBdr>
    </w:div>
    <w:div w:id="1803421590">
      <w:bodyDiv w:val="1"/>
      <w:marLeft w:val="0"/>
      <w:marRight w:val="0"/>
      <w:marTop w:val="0"/>
      <w:marBottom w:val="0"/>
      <w:divBdr>
        <w:top w:val="none" w:sz="0" w:space="0" w:color="auto"/>
        <w:left w:val="none" w:sz="0" w:space="0" w:color="auto"/>
        <w:bottom w:val="none" w:sz="0" w:space="0" w:color="auto"/>
        <w:right w:val="none" w:sz="0" w:space="0" w:color="auto"/>
      </w:divBdr>
    </w:div>
    <w:div w:id="1807504688">
      <w:bodyDiv w:val="1"/>
      <w:marLeft w:val="0"/>
      <w:marRight w:val="0"/>
      <w:marTop w:val="0"/>
      <w:marBottom w:val="0"/>
      <w:divBdr>
        <w:top w:val="none" w:sz="0" w:space="0" w:color="auto"/>
        <w:left w:val="none" w:sz="0" w:space="0" w:color="auto"/>
        <w:bottom w:val="none" w:sz="0" w:space="0" w:color="auto"/>
        <w:right w:val="none" w:sz="0" w:space="0" w:color="auto"/>
      </w:divBdr>
    </w:div>
    <w:div w:id="1826967059">
      <w:bodyDiv w:val="1"/>
      <w:marLeft w:val="0"/>
      <w:marRight w:val="0"/>
      <w:marTop w:val="0"/>
      <w:marBottom w:val="0"/>
      <w:divBdr>
        <w:top w:val="none" w:sz="0" w:space="0" w:color="auto"/>
        <w:left w:val="none" w:sz="0" w:space="0" w:color="auto"/>
        <w:bottom w:val="none" w:sz="0" w:space="0" w:color="auto"/>
        <w:right w:val="none" w:sz="0" w:space="0" w:color="auto"/>
      </w:divBdr>
    </w:div>
    <w:div w:id="1843084176">
      <w:bodyDiv w:val="1"/>
      <w:marLeft w:val="0"/>
      <w:marRight w:val="0"/>
      <w:marTop w:val="0"/>
      <w:marBottom w:val="0"/>
      <w:divBdr>
        <w:top w:val="none" w:sz="0" w:space="0" w:color="auto"/>
        <w:left w:val="none" w:sz="0" w:space="0" w:color="auto"/>
        <w:bottom w:val="none" w:sz="0" w:space="0" w:color="auto"/>
        <w:right w:val="none" w:sz="0" w:space="0" w:color="auto"/>
      </w:divBdr>
    </w:div>
    <w:div w:id="1858617676">
      <w:bodyDiv w:val="1"/>
      <w:marLeft w:val="0"/>
      <w:marRight w:val="0"/>
      <w:marTop w:val="0"/>
      <w:marBottom w:val="0"/>
      <w:divBdr>
        <w:top w:val="none" w:sz="0" w:space="0" w:color="auto"/>
        <w:left w:val="none" w:sz="0" w:space="0" w:color="auto"/>
        <w:bottom w:val="none" w:sz="0" w:space="0" w:color="auto"/>
        <w:right w:val="none" w:sz="0" w:space="0" w:color="auto"/>
      </w:divBdr>
    </w:div>
    <w:div w:id="1864830105">
      <w:bodyDiv w:val="1"/>
      <w:marLeft w:val="0"/>
      <w:marRight w:val="0"/>
      <w:marTop w:val="0"/>
      <w:marBottom w:val="0"/>
      <w:divBdr>
        <w:top w:val="none" w:sz="0" w:space="0" w:color="auto"/>
        <w:left w:val="none" w:sz="0" w:space="0" w:color="auto"/>
        <w:bottom w:val="none" w:sz="0" w:space="0" w:color="auto"/>
        <w:right w:val="none" w:sz="0" w:space="0" w:color="auto"/>
      </w:divBdr>
    </w:div>
    <w:div w:id="1867980724">
      <w:bodyDiv w:val="1"/>
      <w:marLeft w:val="0"/>
      <w:marRight w:val="0"/>
      <w:marTop w:val="0"/>
      <w:marBottom w:val="0"/>
      <w:divBdr>
        <w:top w:val="none" w:sz="0" w:space="0" w:color="auto"/>
        <w:left w:val="none" w:sz="0" w:space="0" w:color="auto"/>
        <w:bottom w:val="none" w:sz="0" w:space="0" w:color="auto"/>
        <w:right w:val="none" w:sz="0" w:space="0" w:color="auto"/>
      </w:divBdr>
    </w:div>
    <w:div w:id="1868181161">
      <w:bodyDiv w:val="1"/>
      <w:marLeft w:val="0"/>
      <w:marRight w:val="0"/>
      <w:marTop w:val="0"/>
      <w:marBottom w:val="0"/>
      <w:divBdr>
        <w:top w:val="none" w:sz="0" w:space="0" w:color="auto"/>
        <w:left w:val="none" w:sz="0" w:space="0" w:color="auto"/>
        <w:bottom w:val="none" w:sz="0" w:space="0" w:color="auto"/>
        <w:right w:val="none" w:sz="0" w:space="0" w:color="auto"/>
      </w:divBdr>
    </w:div>
    <w:div w:id="1869878926">
      <w:bodyDiv w:val="1"/>
      <w:marLeft w:val="0"/>
      <w:marRight w:val="0"/>
      <w:marTop w:val="0"/>
      <w:marBottom w:val="0"/>
      <w:divBdr>
        <w:top w:val="none" w:sz="0" w:space="0" w:color="auto"/>
        <w:left w:val="none" w:sz="0" w:space="0" w:color="auto"/>
        <w:bottom w:val="none" w:sz="0" w:space="0" w:color="auto"/>
        <w:right w:val="none" w:sz="0" w:space="0" w:color="auto"/>
      </w:divBdr>
    </w:div>
    <w:div w:id="1895047518">
      <w:bodyDiv w:val="1"/>
      <w:marLeft w:val="0"/>
      <w:marRight w:val="0"/>
      <w:marTop w:val="0"/>
      <w:marBottom w:val="0"/>
      <w:divBdr>
        <w:top w:val="none" w:sz="0" w:space="0" w:color="auto"/>
        <w:left w:val="none" w:sz="0" w:space="0" w:color="auto"/>
        <w:bottom w:val="none" w:sz="0" w:space="0" w:color="auto"/>
        <w:right w:val="none" w:sz="0" w:space="0" w:color="auto"/>
      </w:divBdr>
    </w:div>
    <w:div w:id="1907493371">
      <w:bodyDiv w:val="1"/>
      <w:marLeft w:val="0"/>
      <w:marRight w:val="0"/>
      <w:marTop w:val="0"/>
      <w:marBottom w:val="0"/>
      <w:divBdr>
        <w:top w:val="none" w:sz="0" w:space="0" w:color="auto"/>
        <w:left w:val="none" w:sz="0" w:space="0" w:color="auto"/>
        <w:bottom w:val="none" w:sz="0" w:space="0" w:color="auto"/>
        <w:right w:val="none" w:sz="0" w:space="0" w:color="auto"/>
      </w:divBdr>
    </w:div>
    <w:div w:id="1911885724">
      <w:bodyDiv w:val="1"/>
      <w:marLeft w:val="0"/>
      <w:marRight w:val="0"/>
      <w:marTop w:val="0"/>
      <w:marBottom w:val="0"/>
      <w:divBdr>
        <w:top w:val="none" w:sz="0" w:space="0" w:color="auto"/>
        <w:left w:val="none" w:sz="0" w:space="0" w:color="auto"/>
        <w:bottom w:val="none" w:sz="0" w:space="0" w:color="auto"/>
        <w:right w:val="none" w:sz="0" w:space="0" w:color="auto"/>
      </w:divBdr>
      <w:divsChild>
        <w:div w:id="1341352647">
          <w:marLeft w:val="0"/>
          <w:marRight w:val="0"/>
          <w:marTop w:val="0"/>
          <w:marBottom w:val="0"/>
          <w:divBdr>
            <w:top w:val="none" w:sz="0" w:space="0" w:color="auto"/>
            <w:left w:val="none" w:sz="0" w:space="0" w:color="auto"/>
            <w:bottom w:val="none" w:sz="0" w:space="0" w:color="auto"/>
            <w:right w:val="none" w:sz="0" w:space="0" w:color="auto"/>
          </w:divBdr>
          <w:divsChild>
            <w:div w:id="323973764">
              <w:marLeft w:val="0"/>
              <w:marRight w:val="0"/>
              <w:marTop w:val="0"/>
              <w:marBottom w:val="0"/>
              <w:divBdr>
                <w:top w:val="none" w:sz="0" w:space="0" w:color="auto"/>
                <w:left w:val="none" w:sz="0" w:space="0" w:color="auto"/>
                <w:bottom w:val="none" w:sz="0" w:space="0" w:color="auto"/>
                <w:right w:val="none" w:sz="0" w:space="0" w:color="auto"/>
              </w:divBdr>
              <w:divsChild>
                <w:div w:id="115483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819874">
      <w:bodyDiv w:val="1"/>
      <w:marLeft w:val="0"/>
      <w:marRight w:val="0"/>
      <w:marTop w:val="0"/>
      <w:marBottom w:val="0"/>
      <w:divBdr>
        <w:top w:val="none" w:sz="0" w:space="0" w:color="auto"/>
        <w:left w:val="none" w:sz="0" w:space="0" w:color="auto"/>
        <w:bottom w:val="none" w:sz="0" w:space="0" w:color="auto"/>
        <w:right w:val="none" w:sz="0" w:space="0" w:color="auto"/>
      </w:divBdr>
    </w:div>
    <w:div w:id="1915973633">
      <w:bodyDiv w:val="1"/>
      <w:marLeft w:val="0"/>
      <w:marRight w:val="0"/>
      <w:marTop w:val="0"/>
      <w:marBottom w:val="0"/>
      <w:divBdr>
        <w:top w:val="none" w:sz="0" w:space="0" w:color="auto"/>
        <w:left w:val="none" w:sz="0" w:space="0" w:color="auto"/>
        <w:bottom w:val="none" w:sz="0" w:space="0" w:color="auto"/>
        <w:right w:val="none" w:sz="0" w:space="0" w:color="auto"/>
      </w:divBdr>
    </w:div>
    <w:div w:id="1933078901">
      <w:bodyDiv w:val="1"/>
      <w:marLeft w:val="0"/>
      <w:marRight w:val="0"/>
      <w:marTop w:val="0"/>
      <w:marBottom w:val="0"/>
      <w:divBdr>
        <w:top w:val="none" w:sz="0" w:space="0" w:color="auto"/>
        <w:left w:val="none" w:sz="0" w:space="0" w:color="auto"/>
        <w:bottom w:val="none" w:sz="0" w:space="0" w:color="auto"/>
        <w:right w:val="none" w:sz="0" w:space="0" w:color="auto"/>
      </w:divBdr>
    </w:div>
    <w:div w:id="1978339928">
      <w:bodyDiv w:val="1"/>
      <w:marLeft w:val="0"/>
      <w:marRight w:val="0"/>
      <w:marTop w:val="0"/>
      <w:marBottom w:val="0"/>
      <w:divBdr>
        <w:top w:val="none" w:sz="0" w:space="0" w:color="auto"/>
        <w:left w:val="none" w:sz="0" w:space="0" w:color="auto"/>
        <w:bottom w:val="none" w:sz="0" w:space="0" w:color="auto"/>
        <w:right w:val="none" w:sz="0" w:space="0" w:color="auto"/>
      </w:divBdr>
    </w:div>
    <w:div w:id="1984920995">
      <w:bodyDiv w:val="1"/>
      <w:marLeft w:val="0"/>
      <w:marRight w:val="0"/>
      <w:marTop w:val="0"/>
      <w:marBottom w:val="0"/>
      <w:divBdr>
        <w:top w:val="none" w:sz="0" w:space="0" w:color="auto"/>
        <w:left w:val="none" w:sz="0" w:space="0" w:color="auto"/>
        <w:bottom w:val="none" w:sz="0" w:space="0" w:color="auto"/>
        <w:right w:val="none" w:sz="0" w:space="0" w:color="auto"/>
      </w:divBdr>
    </w:div>
    <w:div w:id="1997218482">
      <w:bodyDiv w:val="1"/>
      <w:marLeft w:val="0"/>
      <w:marRight w:val="0"/>
      <w:marTop w:val="0"/>
      <w:marBottom w:val="0"/>
      <w:divBdr>
        <w:top w:val="none" w:sz="0" w:space="0" w:color="auto"/>
        <w:left w:val="none" w:sz="0" w:space="0" w:color="auto"/>
        <w:bottom w:val="none" w:sz="0" w:space="0" w:color="auto"/>
        <w:right w:val="none" w:sz="0" w:space="0" w:color="auto"/>
      </w:divBdr>
    </w:div>
    <w:div w:id="2017684114">
      <w:bodyDiv w:val="1"/>
      <w:marLeft w:val="0"/>
      <w:marRight w:val="0"/>
      <w:marTop w:val="0"/>
      <w:marBottom w:val="0"/>
      <w:divBdr>
        <w:top w:val="none" w:sz="0" w:space="0" w:color="auto"/>
        <w:left w:val="none" w:sz="0" w:space="0" w:color="auto"/>
        <w:bottom w:val="none" w:sz="0" w:space="0" w:color="auto"/>
        <w:right w:val="none" w:sz="0" w:space="0" w:color="auto"/>
      </w:divBdr>
    </w:div>
    <w:div w:id="2021661701">
      <w:bodyDiv w:val="1"/>
      <w:marLeft w:val="0"/>
      <w:marRight w:val="0"/>
      <w:marTop w:val="0"/>
      <w:marBottom w:val="0"/>
      <w:divBdr>
        <w:top w:val="none" w:sz="0" w:space="0" w:color="auto"/>
        <w:left w:val="none" w:sz="0" w:space="0" w:color="auto"/>
        <w:bottom w:val="none" w:sz="0" w:space="0" w:color="auto"/>
        <w:right w:val="none" w:sz="0" w:space="0" w:color="auto"/>
      </w:divBdr>
    </w:div>
    <w:div w:id="2030714825">
      <w:bodyDiv w:val="1"/>
      <w:marLeft w:val="0"/>
      <w:marRight w:val="0"/>
      <w:marTop w:val="0"/>
      <w:marBottom w:val="0"/>
      <w:divBdr>
        <w:top w:val="none" w:sz="0" w:space="0" w:color="auto"/>
        <w:left w:val="none" w:sz="0" w:space="0" w:color="auto"/>
        <w:bottom w:val="none" w:sz="0" w:space="0" w:color="auto"/>
        <w:right w:val="none" w:sz="0" w:space="0" w:color="auto"/>
      </w:divBdr>
    </w:div>
    <w:div w:id="2045476618">
      <w:bodyDiv w:val="1"/>
      <w:marLeft w:val="0"/>
      <w:marRight w:val="0"/>
      <w:marTop w:val="0"/>
      <w:marBottom w:val="0"/>
      <w:divBdr>
        <w:top w:val="none" w:sz="0" w:space="0" w:color="auto"/>
        <w:left w:val="none" w:sz="0" w:space="0" w:color="auto"/>
        <w:bottom w:val="none" w:sz="0" w:space="0" w:color="auto"/>
        <w:right w:val="none" w:sz="0" w:space="0" w:color="auto"/>
      </w:divBdr>
    </w:div>
    <w:div w:id="2050954586">
      <w:bodyDiv w:val="1"/>
      <w:marLeft w:val="0"/>
      <w:marRight w:val="0"/>
      <w:marTop w:val="0"/>
      <w:marBottom w:val="0"/>
      <w:divBdr>
        <w:top w:val="none" w:sz="0" w:space="0" w:color="auto"/>
        <w:left w:val="none" w:sz="0" w:space="0" w:color="auto"/>
        <w:bottom w:val="none" w:sz="0" w:space="0" w:color="auto"/>
        <w:right w:val="none" w:sz="0" w:space="0" w:color="auto"/>
      </w:divBdr>
    </w:div>
    <w:div w:id="2053143191">
      <w:bodyDiv w:val="1"/>
      <w:marLeft w:val="0"/>
      <w:marRight w:val="0"/>
      <w:marTop w:val="0"/>
      <w:marBottom w:val="0"/>
      <w:divBdr>
        <w:top w:val="none" w:sz="0" w:space="0" w:color="auto"/>
        <w:left w:val="none" w:sz="0" w:space="0" w:color="auto"/>
        <w:bottom w:val="none" w:sz="0" w:space="0" w:color="auto"/>
        <w:right w:val="none" w:sz="0" w:space="0" w:color="auto"/>
      </w:divBdr>
    </w:div>
    <w:div w:id="2061511007">
      <w:bodyDiv w:val="1"/>
      <w:marLeft w:val="0"/>
      <w:marRight w:val="0"/>
      <w:marTop w:val="0"/>
      <w:marBottom w:val="0"/>
      <w:divBdr>
        <w:top w:val="none" w:sz="0" w:space="0" w:color="auto"/>
        <w:left w:val="none" w:sz="0" w:space="0" w:color="auto"/>
        <w:bottom w:val="none" w:sz="0" w:space="0" w:color="auto"/>
        <w:right w:val="none" w:sz="0" w:space="0" w:color="auto"/>
      </w:divBdr>
    </w:div>
    <w:div w:id="2069956432">
      <w:bodyDiv w:val="1"/>
      <w:marLeft w:val="0"/>
      <w:marRight w:val="0"/>
      <w:marTop w:val="0"/>
      <w:marBottom w:val="0"/>
      <w:divBdr>
        <w:top w:val="none" w:sz="0" w:space="0" w:color="auto"/>
        <w:left w:val="none" w:sz="0" w:space="0" w:color="auto"/>
        <w:bottom w:val="none" w:sz="0" w:space="0" w:color="auto"/>
        <w:right w:val="none" w:sz="0" w:space="0" w:color="auto"/>
      </w:divBdr>
    </w:div>
    <w:div w:id="2096854196">
      <w:bodyDiv w:val="1"/>
      <w:marLeft w:val="0"/>
      <w:marRight w:val="0"/>
      <w:marTop w:val="0"/>
      <w:marBottom w:val="0"/>
      <w:divBdr>
        <w:top w:val="none" w:sz="0" w:space="0" w:color="auto"/>
        <w:left w:val="none" w:sz="0" w:space="0" w:color="auto"/>
        <w:bottom w:val="none" w:sz="0" w:space="0" w:color="auto"/>
        <w:right w:val="none" w:sz="0" w:space="0" w:color="auto"/>
      </w:divBdr>
    </w:div>
    <w:div w:id="211015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elancet.com/journals/laninf/article/PIIS14733099(18)306054/fulltext" TargetMode="External"/><Relationship Id="rId18" Type="http://schemas.openxmlformats.org/officeDocument/2006/relationships/hyperlink" Target="https://semg.info/mgyf/medicinageneral/revista_48/pdf/785-790.pdf" TargetMode="External"/><Relationship Id="rId26" Type="http://schemas.openxmlformats.org/officeDocument/2006/relationships/hyperlink" Target="https://www.paho.org/es/publicaciones/panama-informe-anual-pais-2024" TargetMode="External"/><Relationship Id="rId39" Type="http://schemas.openxmlformats.org/officeDocument/2006/relationships/header" Target="header3.xml"/><Relationship Id="rId21" Type="http://schemas.openxmlformats.org/officeDocument/2006/relationships/hyperlink" Target="https://diprece.minsal.cl/wp-content/uploads/2024/04/2024.04.23_PLAN-NACIONAL-CONTRA-LA-RESISTENCIA-A-LOS-ANTIMICROBIANOS.pdf" TargetMode="External"/><Relationship Id="rId34" Type="http://schemas.openxmlformats.org/officeDocument/2006/relationships/hyperlink" Target="https://www.paho.org/es/noticias/21-11-2023-resistencia-antimicrobiana-amenaza-real"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redalyc.org/pdf/7164/716479678005.pdf" TargetMode="External"/><Relationship Id="rId20" Type="http://schemas.openxmlformats.org/officeDocument/2006/relationships/hyperlink" Target="https://pubmed.ncbi.nlm.nih.gov/26603922/" TargetMode="External"/><Relationship Id="rId29" Type="http://schemas.openxmlformats.org/officeDocument/2006/relationships/hyperlink" Target="https://www.healthdata.org/sites/default/files/2025-08/Panama_es.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00134-019-05841-5" TargetMode="External"/><Relationship Id="rId24" Type="http://schemas.openxmlformats.org/officeDocument/2006/relationships/hyperlink" Target="https://amr-review.org/sites/default/files/160518_Final%2520paper_with%2520cover.pdf" TargetMode="External"/><Relationship Id="rId32" Type="http://schemas.openxmlformats.org/officeDocument/2006/relationships/hyperlink" Target="https://doi.org/10.1016/S1473-3099(17)30753-3"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scielo.org.mx/scielo.php?pid=S2696-12962022000200038&amp;script=sci_arttext" TargetMode="External"/><Relationship Id="rId23" Type="http://schemas.openxmlformats.org/officeDocument/2006/relationships/hyperlink" Target="https://www-who-int.translate.goog/news-room/fact-sheets/detail/antimicrobial-resistance?_x_tr_sl=en&amp;_x_tr_tl=es&amp;_x_tr_hl=es&amp;_x_tr_pto=tc" TargetMode="External"/><Relationship Id="rId28" Type="http://schemas.openxmlformats.org/officeDocument/2006/relationships/hyperlink" Target="https://www.paho.org/en/publications/antimicrobial-resistance-americas" TargetMode="External"/><Relationship Id="rId36" Type="http://schemas.openxmlformats.org/officeDocument/2006/relationships/header" Target="header2.xml"/><Relationship Id="rId10" Type="http://schemas.openxmlformats.org/officeDocument/2006/relationships/hyperlink" Target="https://www.minsa.gob.pa/informacion-salud/analisis-de-situacion-de-salud-asis-regional-2024" TargetMode="External"/><Relationship Id="rId19" Type="http://schemas.openxmlformats.org/officeDocument/2006/relationships/hyperlink" Target="https://revistaamc.sld.cu/index.php/amc/article/view/10349" TargetMode="External"/><Relationship Id="rId31" Type="http://schemas.openxmlformats.org/officeDocument/2006/relationships/hyperlink" Target="https://docusalut.com/rest/api/core/bitstreams/2ff33138-cdec-450a-8e7c-7fd1732826d4/conten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revistamedica.com/resistencia-antimicrobiana-desafio-atencion-primaria/" TargetMode="External"/><Relationship Id="rId22" Type="http://schemas.openxmlformats.org/officeDocument/2006/relationships/hyperlink" Target="https://resistenciaantibioticos.es/sites/default/files/2025-06/Informe%2520anual%25202024_0.pdf" TargetMode="External"/><Relationship Id="rId27" Type="http://schemas.openxmlformats.org/officeDocument/2006/relationships/hyperlink" Target="https://www.paho.org/en/campaigns/world-antimicrobial-resistance-awareness-week-2024" TargetMode="External"/><Relationship Id="rId30" Type="http://schemas.openxmlformats.org/officeDocument/2006/relationships/hyperlink" Target="https://doi.org/10.1016/S1473-3099(20)30003-7" TargetMode="External"/><Relationship Id="rId35"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dx.doi.org/10.58807/indexenferm20246922" TargetMode="External"/><Relationship Id="rId17" Type="http://schemas.openxmlformats.org/officeDocument/2006/relationships/hyperlink" Target="https://doi.org/10.3390/pharma3040025" TargetMode="External"/><Relationship Id="rId25" Type="http://schemas.openxmlformats.org/officeDocument/2006/relationships/hyperlink" Target="https://www.paho.org/es/noticias/26-9-2024-ops-gardp-colaboraran-para-hacer-frente-resistencia-antibioticos-america-latina" TargetMode="External"/><Relationship Id="rId33" Type="http://schemas.openxmlformats.org/officeDocument/2006/relationships/hyperlink" Target="https://pmc.ncbi.nlm.nih.gov/articles/PMC4103576/" TargetMode="External"/><Relationship Id="rId38"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BC4B37E-F3BF-4643-AAE6-69608942024A}">
  <we:reference id="wa104382081" version="1.55.1.0" store="es-HN" storeType="OMEX"/>
  <we:alternateReferences>
    <we:reference id="wa104382081" version="1.55.1.0" store="es-HN" storeType="OMEX"/>
  </we:alternateReferences>
  <we:properties>
    <we:property name="MENDELEY_CITATIONS" value="[{&quot;citationID&quot;:&quot;MENDELEY_CITATION_4793f3cc-6571-4eb7-be94-c306e9e36e5e&quot;,&quot;properties&quot;:{&quot;noteIndex&quot;:0},&quot;isEdited&quot;:false,&quot;manualOverride&quot;:{&quot;isManuallyOverridden&quot;:true,&quot;citeprocText&quot;:&quot;(Moreira, 2002)&quot;,&quot;manualOverrideText&quot;:&quot;Para (Moreira, 2002)&quot;},&quot;citationTag&quot;:&quot;MENDELEY_CITATION_v3_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&quot;,&quot;citationItems&quot;:[{&quot;id&quot;:&quot;24c1b95f-b17b-344c-8de0-9ae553d3fddd&quot;,&quot;itemData&quot;:{&quot;type&quot;:&quot;chapter&quot;,&quot;id&quot;:&quot;24c1b95f-b17b-344c-8de0-9ae553d3fddd&quot;,&quot;title&quot;:&quot;Investigación en educación en ciencias: métodos cualitativos&quot;,&quot;author&quot;:[{&quot;family&quot;:&quot;Moreira&quot;,&quot;given&quot;:&quot;Ma&quot;,&quot;parse-names&quot;:false,&quot;dropping-particle&quot;:&quot;&quot;,&quot;non-dropping-particle&quot;:&quot;&quot;}],&quot;container-title&quot;:&quot;Investigación en educación en ciencias métodos cualitativos&quot;,&quot;chapter-number&quot;:&quot;14&quot;,&quot;URL&quot;:&quot;http://www.if.ufrgs.br/~moreira/metodoscualitativos.pdf&quot;,&quot;issued&quot;:{&quot;date-parts&quot;:[[2002]]},&quot;publisher-place&quot;:&quot;Porto Alegre&quot;,&quot;page&quot;:&quot;22-55&quot;,&quot;abstract&quot;:&quot;Introducción En este texto la investigación en educación en ciencias está entendida como la producción de conocimientos resultante de la búsqueda de respuestas a preguntas sobre enseñanza, aprendizaje, currículum y contexto educativo en ciencias, así como sobre el profesorado de ciencias y su formación permanente, dentro de un cuadro epistemológico, teórico y metodológico consistente y coherente. Sin embargo, dicho texto se ocupará sólo del domínio metodológico de esa investigación y en ese dominio se enfocará particularmente la metodología cualitativa. La metodología de la investigación en educación en ciencias es la misma de la investigación en educación y ésta ha sido dominada, a lo largo del siglo XX, por dos paradigmas clásicos: uno inspirado en la metodología de las ciencias naturales enfatizando observaciones empíricas cuantificables y adecuadas para tratamientos estadísticos, el otro derivado del área humanística con énfasis en informaciones holísticas y cualitativas y en enfoques interpretativos. El filósofo alemán Wilhelm Dilthey argumentaba (apud Husén, 1988) ya en 1890 que las humanidades tenían su propia lógica de investigación y que la diferencia entre las ciencias naturales y las humanidades era que éstas buscaban comprender mientras que las primeras procuraban explicar (op. cit. p. 17). Dicha distinción nos parece hoy muy simplificada pero nos sirve para señalar que el debate es antiguo.&quot;,&quot;publisher&quot;:&quot;Universidade Federal do Rio Grande do Soul&quot;,&quot;container-title-short&quot;:&quot;&quot;},&quot;isTemporary&quot;:false}]},{&quot;citationID&quot;:&quot;MENDELEY_CITATION_598d7972-a65d-478f-adad-1e2544deb87d&quot;,&quot;properties&quot;:{&quot;noteIndex&quot;:0},&quot;isEdited&quot;:false,&quot;manualOverride&quot;:{&quot;isManuallyOverridden&quot;:false,&quot;citeprocText&quot;:&quot;(Gavilán et al., 2013)&quot;,&quot;manualOverrideText&quot;:&quot;&quot;},&quot;citationTag&quot;:&quot;MENDELEY_CITATION_v3_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&quot;,&quot;citationItems&quot;:[{&quot;id&quot;:&quot;0f654e54-89be-3f19-a083-edab8e86db19&quot;,&quot;itemData&quot;:{&quot;type&quot;:&quot;article-journal&quot;,&quot;id&quot;:&quot;0f654e54-89be-3f19-a083-edab8e86db19&quot;,&quot;title&quot;:&quot;Designing teaching tools for competence-based learning in environmental chemistry&quot;,&quot;author&quot;:[{&quot;family&quot;:&quot;Gavilán&quot;,&quot;given&quot;:&quot;Irma&quot;,&quot;parse-names&quot;:false,&quot;dropping-particle&quot;:&quot;&quot;,&quot;non-dropping-particle&quot;:&quot;&quot;},{&quot;family&quot;:&quot;Cano&quot;,&quot;given&quot;:&quot;Susana&quot;,&quot;parse-names&quot;:false,&quot;dropping-particle&quot;:&quot;&quot;,&quot;non-dropping-particle&quot;:&quot;&quot;},{&quot;family&quot;:&quot;Aburto&quot;,&quot;given&quot;:&quot;Susana&quot;,&quot;parse-names&quot;:false,&quot;dropping-particle&quot;:&quot;&quot;,&quot;non-dropping-particle&quot;:&quot;&quot;}],&quot;container-title&quot;:&quot;Educacion Quimica&quot;,&quot;DOI&quot;:&quot;10.1016/s0187-893x(13)72479-0&quot;,&quot;ISSN&quot;:&quot;18708404&quot;,&quot;URL&quot;:&quot;http://dx.doi.org/10.1016/S0187-893X(13)72479-0&quot;,&quot;issued&quot;:{&quot;date-parts&quot;:[[2013]]},&quot;page&quot;:&quot;298-308&quot;,&quot;abstract&quot;:&quot;It is important for teachers to have teaching tools that help them to develop competence-based learning in environmental chemistry. Including innovative approaches into their classic courses will enhance the student's ability to know how to learn, to think, to perform, to interpret and to act in different settings. The goal of the teaching and learning process can be reached through these methods. The aim of this work is to design a set of teaching tools in order to develop and assess the competence-based learning in environmental syllabuses for students of Chemistry and Chemical Engineering. The assessing is proposed by means of a rubric specific for each kind of competence developed. These tools act as a support for teachers in the classroom to integrate knowledge, attitudes, cognitive abilities, psychological abilities, sensory abilities and technical skills in an activity or specific task. © Universidad Nacional Autónoma de México.&quot;,&quot;publisher&quot;:&quot;Elsevier&quot;,&quot;issue&quot;:&quot;3&quot;,&quot;volume&quot;:&quot;24&quot;,&quot;container-title-short&quot;:&quot;&quot;},&quot;isTemporary&quot;:false}]},{&quot;citationID&quot;:&quot;MENDELEY_CITATION_99a62b9a-1428-41ca-bc1d-43e1f06858bf&quot;,&quot;properties&quot;:{&quot;noteIndex&quot;:0},&quot;isEdited&quot;:false,&quot;manualOverride&quot;:{&quot;isManuallyOverridden&quot;:false,&quot;citeprocText&quot;:&quot;(Salvador-Cisneros et al., 2023)&quot;,&quot;manualOverrideText&quot;:&quot;&quot;},&quot;citationItems&quot;:[{&quot;id&quot;:&quot;beab41b6-269b-31fe-b2d2-daf77282fbd3&quot;,&quot;itemData&quot;:{&quot;type&quot;:&quot;article-journal&quot;,&quot;id&quot;:&quot;beab41b6-269b-31fe-b2d2-daf77282fbd3&quot;,&quot;title&quot;:&quot;Teaching Practice and Digital Competence: The Case of an Ecuadorian Public University | Prácticas Pedagógicas y Competencias Digitales Docentes: Caso Universidad Pública Ecuatoriana&quot;,&quot;author&quot;:[{&quot;family&quot;:&quot;Salvador-Cisneros&quot;,&quot;given&quot;:&quot;K.&quot;,&quot;parse-names&quot;:false,&quot;dropping-particle&quot;:&quot;&quot;,&quot;non-dropping-particle&quot;:&quot;&quot;},{&quot;family&quot;:&quot;Bolaños-Mendoza&quot;,&quot;given&quot;:&quot;C.&quot;,&quot;parse-names&quot;:false,&quot;dropping-particle&quot;:&quot;&quot;,&quot;non-dropping-particle&quot;:&quot;&quot;},{&quot;family&quot;:&quot;Rodríguez-Arteaga&quot;,&quot;given&quot;:&quot;D.&quot;,&quot;parse-names&quot;:false,&quot;dropping-particle&quot;:&quot;&quot;,&quot;non-dropping-particle&quot;:&quot;&quot;},{&quot;family&quot;:&quot;Salinas&quot;,&quot;given&quot;:&quot;D.Z.&quot;,&quot;parse-names&quot;:false,&quot;dropping-particle&quot;:&quot;&quot;,&quot;non-dropping-particle&quot;:&quot;&quot;},{&quot;family&quot;:&quot;Valdez&quot;,&quot;given&quot;:&quot;E.G.&quot;,&quot;parse-names&quot;:false,&quot;dropping-particle&quot;:&quot;&quot;,&quot;non-dropping-particle&quot;:&quot;&quot;}],&quot;container-title&quot;:&quot;RISTI - Revista Iberica de Sistemas e Tecnologias de Informacao&quot;,&quot;issued&quot;:{&quot;date-parts&quot;:[[2023]]},&quot;page&quot;:&quot;580-594&quot;,&quot;abstract&quot;:&quot;This article reports the study that aimed to characterize the pedagogical practices and digital competencies of the teaching staff of an Ecuadorian public university. In this non-experimental quantitative study, two adapted inventories were applied: one of the pedagogical practices to 247 teachers and one of digital competence to 241. The descriptive statistical analysis method performs the characterization with the application of the software STATA v.16. The results show a relationship between the implementation of active learning environments in teachers with higher levels of digital competence. In conclusion, a baseline is created to assume that the improvement of teaching quality in higher education involves the application of digital competencies and highlights the importance of generating, in teachers, the culture of self-reflection, as evidenced in the faculty of this university.&quot;,&quot;issue&quot;:&quot;E59&quot;,&quot;volume&quot;:&quot;2023&quot;,&quot;container-title-short&quot;:&quot;&quot;},&quot;isTemporary&quot;:false}],&quot;citationTag&quot;:&quot;MENDELEY_CITATION_v3_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&quot;},{&quot;citationID&quot;:&quot;MENDELEY_CITATION_f1cd1eaa-78af-4dc1-bdfb-58e3d078644f&quot;,&quot;properties&quot;:{&quot;noteIndex&quot;:0},&quot;isEdited&quot;:false,&quot;manualOverride&quot;:{&quot;isManuallyOverridden&quot;:true,&quot;citeprocText&quot;:&quot;(Cevallos et al., 2023)&quot;,&quot;manualOverrideText&quot;:&quot;(Cevallos et al., 2023),&quot;},&quot;citationTag&quot;:&quot;MENDELEY_CITATION_v3_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&quot;,&quot;citationItems&quot;:[{&quot;id&quot;:&quot;31ad3756-3d88-3dcc-b940-2f1102e932a5&quot;,&quot;itemData&quot;:{&quot;type&quot;:&quot;article-journal&quot;,&quot;id&quot;:&quot;31ad3756-3d88-3dcc-b940-2f1102e932a5&quot;,&quot;title&quot;:&quot;Digital competences and use of technological tools in higher education students: UTPL case | Competencias digitales y uso de herramientas tecnológicas en estudiantes de educación superior: Caso UTPL&quot;,&quot;author&quot;:[{&quot;family&quot;:&quot;Cevallos&quot;,&quot;given&quot;:&quot;L.E.M.&quot;,&quot;parse-names&quot;:false,&quot;dropping-particle&quot;:&quot;&quot;,&quot;non-dropping-particle&quot;:&quot;&quot;},{&quot;family&quot;:&quot;Cueva&quot;,&quot;given&quot;:&quot;M.C.P.&quot;,&quot;parse-names&quot;:false,&quot;dropping-particle&quot;:&quot;&quot;,&quot;non-dropping-particle&quot;:&quot;&quot;},{&quot;family&quot;:&quot;Rueda&quot;,&quot;given&quot;:&quot;L.M.C.&quot;,&quot;parse-names&quot;:false,&quot;dropping-particle&quot;:&quot;&quot;,&quot;non-dropping-particle&quot;:&quot;&quot;}],&quot;container-title&quot;:&quot;RISTI - Revista Iberica de Sistemas e Tecnologias de Informacao&quot;,&quot;issued&quot;:{&quot;date-parts&quot;:[[2023]]},&quot;page&quot;:&quot;298-309&quot;,&quot;abstract&quot;:&quot;The new technological advances in higher education affect the whole of society and the accounting and auditing profession is not far behind; therefore, students must have the appropriate professional skills to respond to the needs of the world of work. From this, in the UTPL Accounting and Auditing career, students interacted with technological accounting (LUCA) and auditing (ACL) tools during their academic training. The purpose of the research work was to analyze the digital skills developed by university students by including accounting and auditing technological tools in training as an accountant-auditor. The research was descriptive with a non-experimental cross-sectional design and a quantitative approach. The data was obtained through a questionnaire under the Likert scale and applied to 35 students of face-to-face modality. The results reflected that the development of digital skills in students will be greater when technological tools are incorporated during their university career.&quot;,&quot;issue&quot;:&quot;E59&quot;,&quot;volume&quot;:&quot;2023&quot;,&quot;container-title-short&quot;:&quot;&quot;},&quot;isTemporary&quot;:false}]},{&quot;citationID&quot;:&quot;MENDELEY_CITATION_c386aeba-d771-4b8c-85bb-82a9883bc8f7&quot;,&quot;properties&quot;:{&quot;noteIndex&quot;:0},&quot;isEdited&quot;:false,&quot;manualOverride&quot;:{&quot;isManuallyOverridden&quot;:false,&quot;citeprocText&quot;:&quot;(Ley Orgámica de Educación Superior, 2010)&quot;,&quot;manualOverrideText&quot;:&quot;&quot;},&quot;citationTag&quot;:&quot;MENDELEY_CITATION_v3_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&quot;,&quot;citationItems&quot;:[{&quot;id&quot;:&quot;22192e6a-5653-3e39-8e5b-780e19ac4953&quot;,&quot;itemData&quot;:{&quot;type&quot;:&quot;legislation&quot;,&quot;id&quot;:&quot;22192e6a-5653-3e39-8e5b-780e19ac4953&quot;,&quot;title&quot;:&quot;Ley Orgámica de Educación Superior&quot;,&quot;author&quot;:[{&quot;family&quot;:&quot;Asamble Nacional del Ecuador&quot;,&quot;given&quot;:&quot;&quot;,&quot;parse-names&quot;:false,&quot;dropping-particle&quot;:&quot;&quot;,&quot;non-dropping-particle&quot;:&quot;&quot;}],&quot;issued&quot;:{&quot;date-parts&quot;:[[2010]]},&quot;abstract&quot;:&quot;De m¡ consideración: Adjunto al presente encontrará el oficio No. SAN-2010-672 del 4 de octubre de 2010, suscrito por el doctor Francisco Vergara. Secretario General de la Asamblea Nacional, del cual consta la certificación de que la Asamblea Nacional, no trató dentro del plazo de treinta días, señalado en el tercer inciso del artículo 138 de la Constitución de la República. la objeción parcial que presentara el señor Presidente Constitucional de la República, con fecha 3 de septiembre de 2010. respecto del Proyecto de Ley Orgánica de Educación Superior. Por lo que. por disposición del señor Presidente Constitucional de la República, acompaño el texto del Proyecto de Ley Orgánica de Educación Superior en el que se encuentran incorporadas las objeciones que formuló al indicado proyecto el señor Presidente Constitucional de la República, para que. conforme dispone el cuarto inciso del artículo 138 de la Constitución de la República, la publique como Ley de la República en el Registro Oficial. Para el propósito señalado, adjunto los siguientes documentos:&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Red14</b:Tag>
    <b:SourceType>InternetSite</b:SourceType>
    <b:Guid>{132A4136-5003-4E39-A6FE-36D23B8D9C1B}</b:Guid>
    <b:Title>Redbooth</b:Title>
    <b:Year>2014</b:Year>
    <b:InternetSiteTitle>Redbooth - Online Project Management Tools &amp; Collaboration Platform</b:InternetSiteTitle>
    <b:URL>https://redbooth.com/</b:URL>
    <b:YearAccessed>2014</b:YearAccessed>
    <b:MonthAccessed>Octubre</b:MonthAccessed>
    <b:DayAccessed>8</b:DayAccessed>
    <b:Author>
      <b:Author>
        <b:NameList>
          <b:Person>
            <b:Last>Redbooth</b:Last>
          </b:Person>
        </b:NameList>
      </b:Author>
    </b:Author>
    <b:RefOrder>9</b:RefOrder>
  </b:Source>
  <b:Source>
    <b:Tag>Red141</b:Tag>
    <b:SourceType>InternetSite</b:SourceType>
    <b:Guid>{93E68BFC-762F-4592-8322-6383CA1EA039}</b:Guid>
    <b:Author>
      <b:Author>
        <b:NameList>
          <b:Person>
            <b:Last>Redmine</b:Last>
          </b:Person>
        </b:NameList>
      </b:Author>
    </b:Author>
    <b:Title>Redmine</b:Title>
    <b:InternetSiteTitle>Redmine</b:InternetSiteTitle>
    <b:Year>2014</b:Year>
    <b:URL>http://www.redmine.org/</b:URL>
    <b:YearAccessed>2014</b:YearAccessed>
    <b:MonthAccessed>Octubre</b:MonthAccessed>
    <b:DayAccessed>10</b:DayAccessed>
    <b:RefOrder>10</b:RefOrder>
  </b:Source>
  <b:Source>
    <b:Tag>Rep12</b:Tag>
    <b:SourceType>DocumentFromInternetSite</b:SourceType>
    <b:Guid>{88E55F1B-327A-4200-891A-E7B4BEF73379}</b:Guid>
    <b:Title>Repositorio Software Público</b:Title>
    <b:InternetSiteTitle>Repositorio Software Público - Gobierno de Chile</b:InternetSiteTitle>
    <b:Year>2012</b:Year>
    <b:URL>http://www.softwarepublico.cl/sites/default/files/plataforma_redmine_funcionalidades-v1.0_1.pdf</b:URL>
    <b:Author>
      <b:Author>
        <b:Corporate>Emergya</b:Corporate>
      </b:Author>
    </b:Author>
    <b:YearAccessed>2014</b:YearAccessed>
    <b:MonthAccessed>Octubre</b:MonthAccessed>
    <b:DayAccessed>10</b:DayAccessed>
    <b:RefOrder>11</b:RefOrder>
  </b:Source>
  <b:Source>
    <b:Tag>Ope14</b:Tag>
    <b:SourceType>InternetSite</b:SourceType>
    <b:Guid>{DD38AF1F-F265-488C-AD41-BAD99C33DDD4}</b:Guid>
    <b:Author>
      <b:Author>
        <b:NameList>
          <b:Person>
            <b:Last>Atrium</b:Last>
            <b:First>Open</b:First>
          </b:Person>
        </b:NameList>
      </b:Author>
    </b:Author>
    <b:Title>Open Atrium</b:Title>
    <b:InternetSiteTitle>Open Atrium</b:InternetSiteTitle>
    <b:Year>2014</b:Year>
    <b:URL>http://openatrium.com/#!/</b:URL>
    <b:YearAccessed>2014</b:YearAccessed>
    <b:MonthAccessed>Octubre</b:MonthAccessed>
    <b:DayAccessed>10</b:DayAccessed>
    <b:RefOrder>12</b:RefOrder>
  </b:Source>
  <b:Source>
    <b:Tag>ISO14</b:Tag>
    <b:SourceType>InternetSite</b:SourceType>
    <b:Guid>{B402F93A-5F23-4998-8D90-8C4C7B028182}</b:Guid>
    <b:Title>ISO 9126</b:Title>
    <b:InternetSiteTitle>International Organization for Standardization</b:InternetSiteTitle>
    <b:Year>2014</b:Year>
    <b:URL>http://www.iso.org/iso/home/store/catalogue_tc/catalogue_detail.htm?csnumber=22750</b:URL>
    <b:Author>
      <b:Author>
        <b:NameList>
          <b:Person>
            <b:Last>ISO</b:Last>
          </b:Person>
        </b:NameList>
      </b:Author>
    </b:Author>
    <b:YearAccessed>2014</b:YearAccessed>
    <b:MonthAccessed>Octubre</b:MonthAccessed>
    <b:DayAccessed>10</b:DayAccessed>
    <b:RefOrder>13</b:RefOrder>
  </b:Source>
  <b:Source>
    <b:Tag>Mes14</b:Tag>
    <b:SourceType>DocumentFromInternetSite</b:SourceType>
    <b:Guid>{DFADCB47-7475-45D0-BAF2-F570DD54E9B5}</b:Guid>
    <b:Author>
      <b:Author>
        <b:NameList>
          <b:Person>
            <b:Last>Mesquida</b:Last>
            <b:First>Antonia</b:First>
            <b:Middle>Darder</b:Middle>
          </b:Person>
          <b:Person>
            <b:Last>García</b:Last>
            <b:First>Adolfina</b:First>
            <b:Middle>Perez</b:Middle>
          </b:Person>
        </b:NameList>
      </b:Author>
      <b:ProducerName>
        <b:NameList>
          <b:Person>
            <b:Last>Balears</b:Last>
            <b:First>Universitat</b:First>
            <b:Middle>des les Illes</b:Middle>
          </b:Person>
        </b:NameList>
      </b:ProducerName>
    </b:Author>
    <b:Title>Grupo de Tenología Educativa</b:Title>
    <b:InternetSiteTitle>Grupo de Tenología Educativa</b:InternetSiteTitle>
    <b:URL>http://gte.uib.es/pape/gte/sites/gte.uib.es.pape.gte/files/tutoriaproyectos.pdf</b:URL>
    <b:YearAccessed>2014</b:YearAccessed>
    <b:MonthAccessed>Agosto</b:MonthAccessed>
    <b:DayAccessed>14</b:DayAccessed>
    <b:Year>2014</b:Year>
    <b:Month>Agosto</b:Month>
    <b:RefOrder>14</b:RefOrder>
  </b:Source>
  <b:Source>
    <b:Tag>Mar14</b:Tag>
    <b:SourceType>InternetSite</b:SourceType>
    <b:Guid>{47EDB2B6-F759-4854-A58D-911611BEE1ED}</b:Guid>
    <b:Author>
      <b:Author>
        <b:Corporate>Marketing y Productividad</b:Corporate>
      </b:Author>
    </b:Author>
    <b:Title>Redbooth</b:Title>
    <b:InternetSiteTitle>Marketing y Productividad</b:InternetSiteTitle>
    <b:Year>2014</b:Year>
    <b:Month>08</b:Month>
    <b:Day>03</b:Day>
    <b:URL>http://www.marketingyproductividad.com/2014/02/redbooth-herramienta-colaborativa-de-tareas/</b:URL>
    <b:RefOrder>15</b:RefOrder>
  </b:Source>
  <b:Source>
    <b:Tag>Wes16</b:Tag>
    <b:SourceType>InternetSite</b:SourceType>
    <b:Guid>{A0BFBCB7-9065-4987-B698-18756242F5AD}</b:Guid>
    <b:Title>Redbooth Review</b:Title>
    <b:Year>2016 </b:Year>
    <b:Author>
      <b:Author>
        <b:NameList>
          <b:Person>
            <b:Last>Kriz</b:Last>
            <b:First>Wesley</b:First>
          </b:Person>
        </b:NameList>
      </b:Author>
    </b:Author>
    <b:Month>Enero</b:Month>
    <b:Day>13</b:Day>
    <b:URL> Recuperado: https://www.merchantmaverick.com/reviews/redbooth-review/</b:URL>
    <b:RefOrder>16</b:RefOrder>
  </b:Source>
  <b:Source>
    <b:Tag>Rec</b:Tag>
    <b:SourceType>InternetSite</b:SourceType>
    <b:Guid>{D650C11C-A900-4CB3-A86E-67B6023E5994}</b:Guid>
    <b:URL>Recuperado: http://empresayeconomia.republica.com/aplicaciones-para-empresas/activecollab-trabajo-en-grupo-para-proyectos.html</b:URL>
    <b:Author>
      <b:Author>
        <b:NameList>
          <b:Person>
            <b:Last>Leo</b:Last>
            <b:First>Junior</b:First>
          </b:Person>
        </b:NameList>
      </b:Author>
    </b:Author>
    <b:Title>Empresa y economía</b:Title>
    <b:RefOrder>17</b:RefOrder>
  </b:Source>
  <b:Source>
    <b:Tag>Car</b:Tag>
    <b:SourceType>Book</b:SourceType>
    <b:Guid>{D949017E-23C6-47AF-80EC-AA6B0275348C}</b:Guid>
    <b:Title>Primer Aeropuerto Ecológico del Mundo</b:Title>
    <b:City>Guayaquil</b:City>
    <b:Author>
      <b:Author>
        <b:NameList>
          <b:Person>
            <b:Last>Macias</b:Last>
            <b:First>Carla</b:First>
          </b:Person>
        </b:NameList>
      </b:Author>
    </b:Author>
    <b:Pages>17</b:Pages>
    <b:ThesisType>resumen</b:ThesisType>
    <b:Year>2012</b:Year>
    <b:URL>https://es.linkedin.com/pulse/el-primer-aeropuerto-ecologico-del-mundo-se-encuentra-carla-macias</b:URL>
    <b:StateProvince>guayas</b:StateProvince>
    <b:CountryRegion>Ecuador</b:CountryRegion>
    <b:RefOrder>18</b:RefOrder>
  </b:Source>
  <b:Source>
    <b:Tag>Amb15</b:Tag>
    <b:SourceType>Book</b:SourceType>
    <b:Guid>{5FB0B977-8018-490C-8027-F74BB3228DBD}</b:Guid>
    <b:Author>
      <b:Author>
        <b:NameList>
          <b:Person>
            <b:Last>MAE</b:Last>
          </b:Person>
        </b:NameList>
      </b:Author>
    </b:Author>
    <b:Title>Ministerio del Medio Ambiente</b:Title>
    <b:Year>2015</b:Year>
    <b:City>Quito</b:City>
    <b:StateProvince>Pichincha</b:StateProvince>
    <b:CountryRegion>Ecuador</b:CountryRegion>
    <b:URL>http://www.ambiente.gob.ec/wp-content/uploads/downloads/2012/09/LEY-DE-PREVENCION-Y-CONTROL-DE-LA-CONTAMINACION-AMBIENTAL.pdf</b:URL>
    <b:RefOrder>19</b:RefOrder>
  </b:Source>
  <b:Source>
    <b:Tag>ECO17</b:Tag>
    <b:SourceType>JournalArticle</b:SourceType>
    <b:Guid>{29231554-9ED6-40FC-B964-EF40E6E2AC2F}</b:Guid>
    <b:Author>
      <b:Author>
        <b:Corporate>ECOGAL S.A</b:Corporate>
      </b:Author>
      <b:Editor>
        <b:NameList>
          <b:Person>
            <b:Last>Vélez</b:Last>
            <b:First>Luis</b:First>
          </b:Person>
        </b:NameList>
      </b:Editor>
    </b:Author>
    <b:Title>Aeropuerto Ecologico del Mundo</b:Title>
    <b:Year>2017</b:Year>
    <b:City>Guayas</b:City>
    <b:ShortTitle>Aeropuertos</b:ShortTitle>
    <b:Pages>3</b:Pages>
    <b:YearAccessed>2018</b:YearAccessed>
    <b:MonthAccessed>Marzo</b:MonthAccessed>
    <b:DayAccessed>21</b:DayAccessed>
    <b:URL>https://www.aeromundomagazine.com/aeropuerto-ecologico-de-galapagos-el-nuevo-encanto-de-las-islas/</b:URL>
    <b:Month>Junio</b:Month>
    <b:Day>7</b:Day>
    <b:LCID>es-EC</b:LCID>
    <b:JournalName>AeroMundo Magazine</b:JournalName>
    <b:RefOrder>20</b:RefOrder>
  </b:Source>
  <b:Source>
    <b:Tag>MEG16</b:Tag>
    <b:SourceType>JournalArticle</b:SourceType>
    <b:Guid>{A354AAF1-53B2-4A25-8861-137D9E8F1900}</b:Guid>
    <b:Year>2016</b:Year>
    <b:Author>
      <b:Author>
        <b:Corporate>MUNDO CONSTRUCTOR</b:Corporate>
      </b:Author>
    </b:Author>
    <b:Month>Septiembre</b:Month>
    <b:Day>06</b:Day>
    <b:Title>Baltra: un aeropuerto responsable con el archipiélago</b:Title>
    <b:URL>http://www.mundoconstructor.com.ec/index.php/construccion/comercial/689-baltra-un-aeropuerto-responsable-con-el-archipi%C3%A9lago</b:URL>
    <b:RefOrder>21</b:RefOrder>
  </b:Source>
  <b:Source>
    <b:Tag>Cer12</b:Tag>
    <b:SourceType>Book</b:SourceType>
    <b:Guid>{06822D15-A504-4359-9B00-60939452F8B4}</b:Guid>
    <b:Author>
      <b:Author>
        <b:NameList>
          <b:Person>
            <b:Last>Certificaciones</b:Last>
          </b:Person>
        </b:NameList>
      </b:Author>
    </b:Author>
    <b:Title>premios obtenidos del primer aeropuerto ecologico del mundo</b:Title>
    <b:Year>2012</b:Year>
    <b:City>Baltra</b:City>
    <b:StateProvince>Galápagos </b:StateProvince>
    <b:CountryRegion>Ecuador</b:CountryRegion>
    <b:URL>http://www.ecogal.aero/certificaciones-y-premios</b:URL>
    <b:RefOrder>22</b:RefOrder>
  </b:Source>
  <b:Source>
    <b:Tag>Har12</b:Tag>
    <b:SourceType>Book</b:SourceType>
    <b:Guid>{7126A49A-637E-46C7-B362-3FD53C35ABB6}</b:Guid>
    <b:Title>Descripcion de la rediseñacion de las salas VIP del Aeropuerto Seymour de Galápagos</b:Title>
    <b:Year>2012</b:Year>
    <b:City>Baltra</b:City>
    <b:StateProvince>Islas Galápagos</b:StateProvince>
    <b:CountryRegion>Ecuador Continental </b:CountryRegion>
    <b:Pages>3</b:Pages>
    <b:Comments>la Arq. Vanessa Alvarez nos colaboró con la informacion para adjuntarlo al artículo </b:Comments>
    <b:YearAccessed>2017</b:YearAccessed>
    <b:MonthAccessed>Enero</b:MonthAccessed>
    <b:DayAccessed>17</b:DayAccessed>
    <b:Author>
      <b:Author>
        <b:Corporate>Arq. Vanessa Alvarez Del Pozo de Haro</b:Corporate>
      </b:Author>
    </b:Author>
    <b:RefOrder>23</b:RefOrder>
  </b:Source>
  <b:Source>
    <b:Tag>Wri13</b:Tag>
    <b:SourceType>InternetSite</b:SourceType>
    <b:Guid>{1497C45F-B602-42C4-A55A-E7D1F332507E}</b:Guid>
    <b:Author>
      <b:Author>
        <b:Corporate>Wright, Guillermo</b:Corporate>
      </b:Author>
    </b:Author>
    <b:Title>Ecuador, Perú, Inglaterra, India, etc., considerados hoy como países de nuevas latitudes, tienen un gran potencial vitivinícola</b:Title>
    <b:PeriodicalTitle>Ecuador, Perú, Inglaterra, India, etc., considerados hoy como países de nuevas latitudes, tienen un gran potencial vitivinícola</b:PeriodicalTitle>
    <b:Year>2013</b:Year>
    <b:Month>10</b:Month>
    <b:Day>31</b:Day>
    <b:JournalName>Área del vino</b:JournalName>
    <b:InternetSiteTitle>Área del vino</b:InternetSiteTitle>
    <b:URL>http://araedelvino.com/articulo.php?num=25705</b:URL>
    <b:RefOrder>24</b:RefOrder>
  </b:Source>
  <b:Source>
    <b:Tag>Gui17</b:Tag>
    <b:SourceType>Interview</b:SourceType>
    <b:Guid>{3F34E97B-134B-4B37-99AB-1A34533CF86D}</b:Guid>
    <b:Author>
      <b:Author>
        <b:NameList>
          <b:Person>
            <b:Last>Wright</b:Last>
            <b:First>Gullermo</b:First>
          </b:Person>
        </b:NameList>
      </b:Author>
      <b:Interviewee>
        <b:NameList>
          <b:Person>
            <b:Last>Wright</b:Last>
            <b:First>Guillermo</b:First>
          </b:Person>
        </b:NameList>
      </b:Interviewee>
      <b:Interviewer>
        <b:NameList>
          <b:Person>
            <b:Last>EXPRESO</b:Last>
            <b:First>Diario</b:First>
          </b:Person>
        </b:NameList>
      </b:Interviewer>
    </b:Author>
    <b:Title>"Petróleo" en el paladar</b:Title>
    <b:InternetSiteTitle>El vino local seduce los paladares ecuatorianos</b:InternetSiteTitle>
    <b:Year>2016</b:Year>
    <b:URL>http://expreso.ec/actualidad/ydespuesdelasseleccionesahoraqueCB542400</b:URL>
    <b:RefOrder>25</b:RefOrder>
  </b:Source>
  <b:Source>
    <b:Tag>Car17</b:Tag>
    <b:SourceType>Interview</b:SourceType>
    <b:Guid>{6F5BEB4B-5D3C-4021-8A8E-A723BCE95583}</b:Guid>
    <b:Author>
      <b:Interviewee>
        <b:NameList>
          <b:Person>
            <b:Last>Artiñano</b:Last>
            <b:First>Carla</b:First>
          </b:Person>
        </b:NameList>
      </b:Interviewee>
      <b:Interviewer>
        <b:NameList>
          <b:Person>
            <b:Last>EXPRESO</b:Last>
            <b:First>Diario</b:First>
          </b:Person>
        </b:NameList>
      </b:Interviewer>
    </b:Author>
    <b:Title>El vino local seduce los paladares ecuatorianos</b:Title>
    <b:Year>2017</b:Year>
    <b:Month>01</b:Month>
    <b:Day>09</b:Day>
    <b:RefOrder>26</b:RefOrder>
  </b:Source>
  <b:Source>
    <b:Tag>Abe14</b:Tag>
    <b:SourceType>Interview</b:SourceType>
    <b:Guid>{B3DDA8D5-C270-406B-98D8-F36859901F67}</b:Guid>
    <b:Author>
      <b:Interviewee>
        <b:NameList>
          <b:Person>
            <b:Last>Furlán</b:Last>
            <b:First>Abel</b:First>
          </b:Person>
        </b:NameList>
      </b:Interviewee>
      <b:Interviewer>
        <b:NameList>
          <b:Person>
            <b:Last>EXPRESO</b:Last>
            <b:First>Diario</b:First>
          </b:Person>
        </b:NameList>
      </b:Interviewer>
    </b:Author>
    <b:Title>El vino local seduce los paladares ecuatorianos</b:Title>
    <b:Year>2014</b:Year>
    <b:RefOrder>27</b:RefOrder>
  </b:Source>
  <b:Source>
    <b:Tag>Dur</b:Tag>
    <b:SourceType>JournalArticle</b:SourceType>
    <b:Guid>{B25BCC04-069E-47D2-BDA7-0515A3B5C59A}</b:Guid>
    <b:Title>Vino de Yaruquí</b:Title>
    <b:URL>http://www.revistalideres.ec/lideres/vino-yaruqui-cosecha-paladares-pais.html</b:URL>
    <b:Author>
      <b:Author>
        <b:Corporate>Durán, Jorge</b:Corporate>
      </b:Author>
    </b:Author>
    <b:JournalName>Revista Líderes</b:JournalName>
    <b:RefOrder>28</b:RefOrder>
  </b:Source>
  <b:Source>
    <b:Tag>Gav13</b:Tag>
    <b:SourceType>Misc</b:SourceType>
    <b:Guid>{B0657D36-DDC1-464B-94C2-2A46F8FE55EB}</b:Guid>
    <b:Title>La lectura crítica y su incidencia en el aprendizaje significativo de los estudiantes de los décimos años A y B de educación general básica del Colegio Nacional Experimental Ambato</b:Title>
    <b:Year>2013</b:Year>
    <b:City>Ambato</b:City>
    <b:Publisher>Universidad Técnica de Ambato</b:Publisher>
    <b:Author>
      <b:Author>
        <b:NameList>
          <b:Person>
            <b:Last>Gavilánez Gavilánez</b:Last>
            <b:First>Luis</b:First>
            <b:Middle>Alberto</b:Middle>
          </b:Person>
        </b:NameList>
      </b:Author>
    </b:Author>
    <b:StateProvince>Tungurahua</b:StateProvince>
    <b:CountryRegion>Ecuador</b:CountryRegion>
    <b:RefOrder>29</b:RefOrder>
  </b:Source>
  <b:Source>
    <b:Tag>Baq13</b:Tag>
    <b:SourceType>Misc</b:SourceType>
    <b:Guid>{2367EFE1-5875-4C5D-AB2B-C91E2EA89929}</b:Guid>
    <b:Author>
      <b:Author>
        <b:NameList>
          <b:Person>
            <b:Last>Baquerizo Matute</b:Last>
            <b:First>Carmen</b:First>
          </b:Person>
        </b:NameList>
      </b:Author>
    </b:Author>
    <b:Title>Aplicación de la lectura crítica en los procesos de enseñana- aprendizaje para los estudiantes de segundo año especialización lengua y literatura </b:Title>
    <b:Year>2013</b:Year>
    <b:City>Guayaquil</b:City>
    <b:StateProvince>Guayas</b:StateProvince>
    <b:CountryRegion>Ecuador</b:CountryRegion>
    <b:Publisher>Universidad de Guayaquil</b:Publisher>
    <b:RefOrder>30</b:RefOrder>
  </b:Source>
  <b:Source>
    <b:Tag>Paú14</b:Tag>
    <b:SourceType>DocumentFromInternetSite</b:SourceType>
    <b:Guid>{9007590E-D38E-4261-892A-6D5B8F21BDF3}</b:Guid>
    <b:Title>Eduteka</b:Title>
    <b:Year>2014</b:Year>
    <b:Author>
      <b:Author>
        <b:NameList>
          <b:Person>
            <b:Last>Paúl</b:Last>
            <b:First>Richard</b:First>
          </b:Person>
          <b:Person>
            <b:Last>Elder</b:Last>
            <b:First>Linda</b:First>
          </b:Person>
        </b:NameList>
      </b:Author>
    </b:Author>
    <b:InternetSiteTitle>Lectura crítica</b:InternetSiteTitle>
    <b:URL>http://www.eduteka.org/pdfdir/LecturaCritica.pdf</b:URL>
    <b:RefOrder>31</b:RefOrder>
  </b:Source>
  <b:Source>
    <b:Tag>Iba11</b:Tag>
    <b:SourceType>DocumentFromInternetSite</b:SourceType>
    <b:Guid>{CAB7FB83-8154-4214-ACF5-BCDDFCB5D6F8}</b:Guid>
    <b:Author>
      <b:Author>
        <b:NameList>
          <b:Person>
            <b:Last>Ibarra</b:Last>
            <b:First>Chano</b:First>
          </b:Person>
        </b:NameList>
      </b:Author>
    </b:Author>
    <b:Title>Metodología de la investigación</b:Title>
    <b:Year>2011</b:Year>
    <b:Month>Octubre</b:Month>
    <b:Day>26</b:Day>
    <b:URL>http://metodologadelainvestigacinsiis.blogspot.com/2011/10/tipos-de-investigacion-exploratoria.html</b:URL>
    <b:RefOrder>32</b:RefOrder>
  </b:Source>
  <b:Source>
    <b:Tag>Men15</b:Tag>
    <b:SourceType>Misc</b:SourceType>
    <b:Guid>{25BDF350-2F8E-447B-86A3-DF113F09133A}</b:Guid>
    <b:Author>
      <b:Author>
        <b:NameList>
          <b:Person>
            <b:Last>Mendoza</b:Last>
            <b:First>Patricia</b:First>
          </b:Person>
        </b:NameList>
      </b:Author>
    </b:Author>
    <b:Title>Anàliss y estrategias didàcticas y su influencia en el desempeño escolar </b:Title>
    <b:Year>2015</b:Year>
    <b:City>Guayaquil</b:City>
    <b:StateProvince>Guayas</b:StateProvince>
    <b:CountryRegion>Ecuador</b:CountryRegion>
    <b:Publisher>Norma</b:Publisher>
    <b:RefOrder>33</b:RefOrder>
  </b:Source>
  <b:Source>
    <b:Tag>Bet20</b:Tag>
    <b:SourceType>ConferenceProceedings</b:SourceType>
    <b:Guid>{CA6A6C3E-32B8-4EF3-A2D1-2075DD03CF76}</b:Guid>
    <b:Title>Vinculación y extensión universitaria</b:Title>
    <b:City>Lima</b:City>
    <b:Year>2020</b:Year>
    <b:Author>
      <b:Author>
        <b:NameList>
          <b:Person>
            <b:Last>Beteta</b:Last>
            <b:First>Edmundo</b:First>
          </b:Person>
        </b:NameList>
      </b:Author>
    </b:Author>
    <b:Pages>sp</b:Pages>
    <b:ConferenceName>Congreso Internacional de la Gestión de la Ciencia, la Tecnología, la Ingeniería y la Innovación (GEITEC 2020)</b:ConferenceName>
    <b:Publisher>PUCP</b:Publisher>
    <b:YearAccessed>2021</b:YearAccessed>
    <b:MonthAccessed>febrero</b:MonthAccessed>
    <b:DayAccessed>20</b:DayAccessed>
    <b:URL>http://congreso.pucp.edu.pe/geitec/programa/dia1/</b:URL>
    <b:RefOrder>1</b:RefOrder>
  </b:Source>
  <b:Source>
    <b:Tag>Her20</b:Tag>
    <b:SourceType>ConferenceProceedings</b:SourceType>
    <b:Guid>{415C2927-D544-4A7D-A652-92CFD8D39C98}</b:Guid>
    <b:Author>
      <b:Author>
        <b:NameList>
          <b:Person>
            <b:Last>Hernández</b:Last>
            <b:First>Christian</b:First>
          </b:Person>
        </b:NameList>
      </b:Author>
    </b:Author>
    <b:Title>Educación, innovación y transformación digital</b:Title>
    <b:Pages>sp</b:Pages>
    <b:Year>2020</b:Year>
    <b:ConferenceName>Congreso Internacional de la Gestión de la Ciencia, la Tecnología, la Ingeniería y la Innovación (GEITEC 2020)</b:ConferenceName>
    <b:City>Lima</b:City>
    <b:Publisher>PUCP</b:Publisher>
    <b:YearAccessed>2021</b:YearAccessed>
    <b:MonthAccessed>febrero</b:MonthAccessed>
    <b:DayAccessed>2</b:DayAccessed>
    <b:URL>http://congreso.pucp.edu.pe/geitec/programa/dia2/</b:URL>
    <b:RefOrder>2</b:RefOrder>
  </b:Source>
  <b:Source>
    <b:Tag>Fer20</b:Tag>
    <b:SourceType>ElectronicSource</b:SourceType>
    <b:Guid>{847BE215-B25C-4C9F-8AF2-B9876B17CE15}</b:Guid>
    <b:Author>
      <b:Author>
        <b:NameList>
          <b:Person>
            <b:Last>Fernández Enguita</b:Last>
            <b:First>Mariano</b:First>
          </b:Person>
        </b:NameList>
      </b:Author>
      <b:ProducerName>
        <b:NameList>
          <b:Person>
            <b:Last>Profuturo</b:Last>
            <b:First>Organización</b:First>
          </b:Person>
        </b:NameList>
      </b:ProducerName>
    </b:Author>
    <b:Title>Webinar: Retos de la docencia en el actual contexto de crisis</b:Title>
    <b:Year>2020</b:Year>
    <b:CountryRegion>España</b:CountryRegion>
    <b:Month>mayo</b:Month>
    <b:Day>19</b:Day>
    <b:ProductionCompany>Telefónica</b:ProductionCompany>
    <b:YearAccessed>2021</b:YearAccessed>
    <b:MonthAccessed>febrero</b:MonthAccessed>
    <b:DayAccessed>19</b:DayAccessed>
    <b:URL>https://youtu.be/QudxL6wvu28</b:URL>
    <b:RefOrder>3</b:RefOrder>
  </b:Source>
  <b:Source>
    <b:Tag>Cor20</b:Tag>
    <b:SourceType>ConferenceProceedings</b:SourceType>
    <b:Guid>{1502D643-4F23-451A-895A-9C28CF2D1CA0}</b:Guid>
    <b:Author>
      <b:Author>
        <b:NameList>
          <b:Person>
            <b:Last>Coronado</b:Last>
            <b:First>Carmen</b:First>
          </b:Person>
        </b:NameList>
      </b:Author>
      <b:Editor>
        <b:NameList>
          <b:Person>
            <b:Last>Telefónica-OEI</b:Last>
          </b:Person>
        </b:NameList>
      </b:Editor>
    </b:Author>
    <b:Title>Serie de webinars de la Organización Profuturo</b:Title>
    <b:Pages>sp</b:Pages>
    <b:Year>2020</b:Year>
    <b:RefOrder>4</b:RefOrder>
  </b:Source>
  <b:Source>
    <b:Tag>Cos20</b:Tag>
    <b:SourceType>BookSection</b:SourceType>
    <b:Guid>{0F3E20F9-CEE5-4144-8A11-34B5C4382EFA}</b:Guid>
    <b:Author>
      <b:Author>
        <b:NameList>
          <b:Person>
            <b:Last>Costa</b:Last>
            <b:First>Paola</b:First>
            <b:Middle>et al</b:Middle>
          </b:Person>
        </b:NameList>
      </b:Author>
      <b:BookAuthor>
        <b:NameList>
          <b:Person>
            <b:Last>Canales</b:Last>
            <b:First>R</b:First>
            <b:Middle>y Herrera, C</b:Middle>
          </b:Person>
        </b:NameList>
      </b:BookAuthor>
    </b:Author>
    <b:Title>Reflexión colaborativa virtual. Desarrollo de un modelo de prácticas pedagógicas mediado por tecnologías para potenciar la metacognición, colaboración y competencias digitales</b:Title>
    <b:BookTitle>Acceso, democracia y comunidades virtuales. Apropiación de tecnologías digitales desde el Cono Sur</b:BookTitle>
    <b:Year>2020</b:Year>
    <b:Pages>387</b:Pages>
    <b:Publisher>Red de investigación sobre Apropiación de Tecnologías Digitales - CLACSO</b:Publisher>
    <b:YearAccessed>2021</b:YearAccessed>
    <b:MonthAccessed>febrero</b:MonthAccessed>
    <b:DayAccessed>22</b:DayAccessed>
    <b:URL>http://biblioteca.clacso.edu.ar/clacso/se/20201125054915/Canales-Herrera.pdf</b:URL>
    <b:RefOrder>5</b:RefOrder>
  </b:Source>
  <b:Source>
    <b:Tag>Mir</b:Tag>
    <b:SourceType>ConferenceProceedings</b:SourceType>
    <b:Guid>{7838030F-A0A6-4C2C-80D4-9C21E78EF3BE}</b:Guid>
    <b:Author>
      <b:Author>
        <b:NameList>
          <b:Person>
            <b:Last>Miranda</b:Last>
            <b:First>German</b:First>
            <b:Middle>et al</b:Middle>
          </b:Person>
        </b:NameList>
      </b:Author>
    </b:Author>
    <b:Title>"Exploración del contenido de foros de discusión en línea sobre conocimiento previo desde la metodología instruccional SOOC”</b:Title>
    <b:Pages>326-333</b:Pages>
    <b:Year>2019</b:Year>
    <b:ConferenceName>XXII Congreso Internacional Edutec</b:ConferenceName>
    <b:City>Lima</b:City>
    <b:Publisher>Facultad de Educación PUCP</b:Publisher>
    <b:RefOrder>6</b:RefOrder>
  </b:Source>
  <b:Source>
    <b:Tag>Cic21</b:Tag>
    <b:SourceType>BookSection</b:SourceType>
    <b:Guid>{9D181DC6-7164-42C5-8884-57F233BFF3EC}</b:Guid>
    <b:Author>
      <b:Author>
        <b:NameList>
          <b:Person>
            <b:Last>Cicala</b:Last>
            <b:First>R</b:First>
            <b:Middle>et al</b:Middle>
          </b:Person>
        </b:NameList>
      </b:Author>
      <b:BookAuthor>
        <b:NameList>
          <b:Person>
            <b:Last>Canales</b:Last>
            <b:First>R</b:First>
            <b:Middle>y Herrera, C</b:Middle>
          </b:Person>
        </b:NameList>
      </b:BookAuthor>
      <b:Editor>
        <b:NameList>
          <b:Person>
            <b:Last>CLACSO</b:Last>
            <b:First>Red</b:First>
            <b:Middle>de investigadores sobre Apropiación de Tecnologías Digitales -</b:Middle>
          </b:Person>
        </b:NameList>
      </b:Editor>
    </b:Author>
    <b:Title>Prácticas digitales de estudiantes universitarios avanzados</b:Title>
    <b:BookTitle>Acces, Democracia y comunidades virtuales. Apropiación de tecnologías digitales desde el Cono Sur</b:BookTitle>
    <b:Pages>387</b:Pages>
    <b:YearAccessed>2021</b:YearAccessed>
    <b:MonthAccessed>febrero</b:MonthAccessed>
    <b:DayAccessed>22</b:DayAccessed>
    <b:URL>http://biblioteca.clacso.edu.ar/clacso/se/20201125054915/Canales-Herrera.pdf</b:URL>
    <b:Year>2020</b:Year>
    <b:RefOrder>7</b:RefOrder>
  </b:Source>
  <b:Source>
    <b:Tag>San20</b:Tag>
    <b:SourceType>BookSection</b:SourceType>
    <b:Guid>{25843D38-8252-4D9D-B306-021424D5C6B1}</b:Guid>
    <b:Title>La apropiación de tecnologías como proceso. Una propuesta de modelo analítico</b:Title>
    <b:Year>2020</b:Year>
    <b:Publisher>Red de investigadores sobre apropiación de tecnologías digitales - CLACSO</b:Publisher>
    <b:Author>
      <b:Author>
        <b:NameList>
          <b:Person>
            <b:Last>Sandoval</b:Last>
            <b:First>Luis</b:First>
            <b:Middle>R.</b:Middle>
          </b:Person>
        </b:NameList>
      </b:Author>
      <b:BookAuthor>
        <b:NameList>
          <b:Person>
            <b:Last>Sandoval</b:Last>
            <b:First>Luis</b:First>
            <b:Middle>R.</b:Middle>
          </b:Person>
        </b:NameList>
      </b:BookAuthor>
      <b:Editor>
        <b:NameList>
          <b:Person>
            <b:Last>(coords)</b:Last>
            <b:First>Roberto</b:First>
            <b:Middle>Canales Reyes y Consuelo Herrera Carvajal.</b:Middle>
          </b:Person>
        </b:NameList>
      </b:Editor>
    </b:Author>
    <b:BookTitle>Acceso democracia y comunidades virtuales. Apropiación de tecnologías digitales desde el Cono Sur</b:BookTitle>
    <b:Pages>387</b:Pages>
    <b:Edition>digital</b:Edition>
    <b:YearAccessed>2021</b:YearAccessed>
    <b:MonthAccessed>febrero</b:MonthAccessed>
    <b:DayAccessed>21</b:DayAccessed>
    <b:URL>http://biblioteca.clacso.edu.ar/clacso/se/20201125054915/Canales-Herrera.pdf</b:URL>
    <b:RefOrder>8</b:RefOrder>
  </b:Source>
  <b:Source>
    <b:Tag>Hod20</b:Tag>
    <b:SourceType>BookSection</b:SourceType>
    <b:Guid>{70636596-B023-4A52-8E12-95EC9164D999}</b:Guid>
    <b:Author>
      <b:Author>
        <b:Corporate>Hodges, Charles; Moore, S; Lockee, Barb; Trust, T; Bond, A</b:Corporate>
      </b:Author>
      <b:BookAuthor>
        <b:NameList>
          <b:Person>
            <b:Last>Factor</b:Last>
            <b:First>The</b:First>
            <b:Middle>learning</b:Middle>
          </b:Person>
        </b:NameList>
      </b:BookAuthor>
    </b:Author>
    <b:Title>La diferencia entre la enseñanza remota de emergencia y el aprendizaje en línea</b:Title>
    <b:Year>2020</b:Year>
    <b:Pages>35</b:Pages>
    <b:YearAccessed>2021</b:YearAccessed>
    <b:MonthAccessed>febrero</b:MonthAccessed>
    <b:DayAccessed>4</b:DayAccessed>
    <b:URL>https://bit.ly/3oRkqL9</b:URL>
    <b:BookTitle>Enseñanza remota de emergencia. Textos para la discusión</b:BookTitle>
    <b:RefOrder>34</b:RefOrder>
  </b:Source>
  <b:Source>
    <b:Tag>Cab20</b:Tag>
    <b:SourceType>Book</b:SourceType>
    <b:Guid>{DA0110A5-FF15-4B50-ADE4-BE5F9D12C3FC}</b:Guid>
    <b:Author>
      <b:Author>
        <b:NameList>
          <b:Person>
            <b:Last>Cabrales</b:Last>
            <b:First>Antonio</b:First>
          </b:Person>
          <b:Person>
            <b:Last>Graham</b:Last>
            <b:First>Amy</b:First>
          </b:Person>
          <b:Person>
            <b:Last>Sahlberg</b:Last>
            <b:First>Pasi</b:First>
          </b:Person>
        </b:NameList>
      </b:Author>
      <b:Editor>
        <b:NameList>
          <b:Person>
            <b:Last>Paul Neira</b:Last>
            <b:First>Claudia</b:First>
            <b:Middle>Rodriguez y Johan Villanueva</b:Middle>
          </b:Person>
        </b:NameList>
      </b:Editor>
    </b:Author>
    <b:Title>Enseñanza de emergencia a distancia: textos para la discusión</b:Title>
    <b:Pages>34</b:Pages>
    <b:Year>2020</b:Year>
    <b:Publisher>The Lerning Factor</b:Publisher>
    <b:YearAccessed>2021</b:YearAccessed>
    <b:MonthAccessed>febrero</b:MonthAccessed>
    <b:DayAccessed>21</b:DayAccessed>
    <b:URL>http://www.educaccionperu.org/wp-content/uploads/2020/04/Ensen%CC%83anza-Remota-de-Emergencia-Textos-para-la-discusio%CC%81n.pdf</b:URL>
    <b:RefOrder>35</b:RefOrder>
  </b:Source>
  <b:Source>
    <b:Tag>FIF1</b:Tag>
    <b:SourceType>InternetSite</b:SourceType>
    <b:Guid>{C1C6422B-DACA-4EC1-A113-05E9D467D4B5}</b:Guid>
    <b:Title>Grassroots</b:Title>
    <b:Author>
      <b:Author>
        <b:Corporate>FIFA</b:Corporate>
      </b:Author>
    </b:Author>
    <b:City>Zurich-Zuisa</b:City>
    <b:Publisher>Fédération Internationale de Football Association</b:Publisher>
    <b:URL>file:///E:/generales/Manual%20Fifa%20para%20Entrenadores/GRASSROOTS%20-%20FIFA.pdf</b:URL>
    <b:Pages>1</b:Pages>
    <b:YearAccessed>2021</b:YearAccessed>
    <b:Year>2021</b:Year>
    <b:RefOrder>1</b:RefOrder>
  </b:Source>
  <b:Source>
    <b:Tag>Var15</b:Tag>
    <b:SourceType>Book</b:SourceType>
    <b:Guid>{BC33598C-B9C0-4694-A3D7-A0A2F1910352}</b:Guid>
    <b:Author>
      <b:Author>
        <b:NameList>
          <b:Person>
            <b:Last>Vargas</b:Last>
            <b:First>Francisco</b:First>
            <b:Middle>Seirul·lo</b:Middle>
          </b:Person>
        </b:NameList>
      </b:Author>
    </b:Author>
    <b:Title>Fundamentos de Francisco Seirul·lo Vargas para la Educación Motriz.</b:Title>
    <b:Year>2015</b:Year>
    <b:Pages>24</b:Pages>
    <b:City>Barcelona- España</b:City>
    <b:Publisher>RED Revista de Entrenamiento Deportivo</b:Publisher>
    <b:URL>file:///C:/Users/ALEX/OneDrive/01_Libro_Fundamentos_Seirul_lo_para_Educacion_Motriz_18marzo2015.pdf</b:URL>
    <b:RefOrder>2</b:RefOrder>
  </b:Source>
  <b:Source>
    <b:Tag>Car151</b:Tag>
    <b:SourceType>JournalArticle</b:SourceType>
    <b:Guid>{735D3105-CF98-44ED-9F08-726993B09E86}</b:Guid>
    <b:Author>
      <b:Author>
        <b:Corporate>Carlos Federico Ayala, Zuluaga Héctor Haney Aguirre, Loaiza Santiago Ramos Bermúdez</b:Corporate>
      </b:Author>
    </b:Author>
    <b:Title>Formacion académica y experiencia deportiva de los entrenadores sudamericanos</b:Title>
    <b:JournalName>Revista Brasileira de CIÊNCIAS DO ESPORTE</b:JournalName>
    <b:Year>2015</b:Year>
    <b:Pages>373</b:Pages>
    <b:Volume>37</b:Volume>
    <b:Issue>4</b:Issue>
    <b:URL>https://reader.elsevier.com/reader/sd/pii/S010132891500089X?token=14FA4CE68D030536DCC7D6F3F87441C605D5DB9964FE5DB55665364E17FEACEAE4B1B46000CF22C8504E3891EF954140</b:URL>
    <b:RefOrder>3</b:RefOrder>
  </b:Source>
  <b:Source>
    <b:Tag>Jes15</b:Tag>
    <b:SourceType>JournalArticle</b:SourceType>
    <b:Guid>{D6426AFB-8EF4-45E3-B8AE-A503F0C5F1DA}</b:Guid>
    <b:Title>La educación en valores desde el deporte: investigación sobre la aplicación de un programa integral en deportes de equipo</b:Title>
    <b:Year>2015</b:Year>
    <b:Author>
      <b:Author>
        <b:Corporate>Jesús Vicente Ruiz Omeñaca*, Ana Ponce de León**, Eva Sanz** y Mª Ángeles Valdemoros</b:Corporate>
      </b:Author>
    </b:Author>
    <b:JournalName>Retos</b:JournalName>
    <b:Pages>1</b:Pages>
    <b:Issue>28</b:Issue>
    <b:URL>https://www.redalyc.org/pdf/3457/345741428047.pdf</b:URL>
    <b:RefOrder>4</b:RefOrder>
  </b:Source>
  <b:Source>
    <b:Tag>Rob15</b:Tag>
    <b:SourceType>JournalArticle</b:SourceType>
    <b:Guid>{B585CAFD-F2A8-4D37-883D-88C7D253CBC9}</b:Guid>
    <b:Author>
      <b:Author>
        <b:Corporate>Roberto Monjas Aguado, Andrés Ponce Garzarán, Juan Manuel Gea Fernández</b:Corporate>
      </b:Author>
    </b:Author>
    <b:Title>La transmisión de valores a través del deporte. Deporte escolar y deporte federado: relaciones, puentes y posibles trasferencias</b:Title>
    <b:JournalName>Retos</b:JournalName>
    <b:Year>2015</b:Year>
    <b:Pages>1</b:Pages>
    <b:Issue>28</b:Issue>
    <b:URL>file:///C:/Users/ALEX/Downloads/Dialnet-LaTransmisionDeValoresATravesDelDeporteDeporteEsco-5147806.pdf</b:URL>
    <b:RefOrder>5</b:RefOrder>
  </b:Source>
  <b:Source>
    <b:Tag>WIL16</b:Tag>
    <b:SourceType>Report</b:SourceType>
    <b:Guid>{221A099C-1F6E-4E27-B83E-23A192A449C5}</b:Guid>
    <b:Title>APLICACIÓN DE UNA METODOLOGÍA DE ENSEÑANZA PARA FÚTBOL BASE EN LA CATEGORÍA 8 – 10 AÑOS DE LA ACADEMIA CAÑAR SOCCER TEAM</b:Title>
    <b:Year>2016</b:Year>
    <b:Pages>32</b:Pages>
    <b:Publisher>UNIVERSIDAD DE CUENCA</b:Publisher>
    <b:City>Cuenca- Ecuador</b:City>
    <b:Author>
      <b:Author>
        <b:NameList>
          <b:Person>
            <b:Last>MORA</b:Last>
            <b:First>WILSON</b:First>
            <b:Middle>EDUARDO NARVÁEZ</b:Middle>
          </b:Person>
        </b:NameList>
      </b:Author>
    </b:Author>
    <b:URL>https://dspace.ucuenca.edu.ec/bitstream/123456789/26625/1/Trabajo%20de%20Titulaci%C3%B3n.pdf</b:URL>
    <b:RefOrder>6</b:RefOrder>
  </b:Source>
  <b:Source>
    <b:Tag>Rom05</b:Tag>
    <b:SourceType>JournalArticle</b:SourceType>
    <b:Guid>{08F36A66-F8B0-4AF1-BA55-0146B5D80A8E}</b:Guid>
    <b:Title>Un modelo de entrenamiento en el fútbol desde una visión didáctica</b:Title>
    <b:Year>2005</b:Year>
    <b:JournalName>efdeportes</b:JournalName>
    <b:Pages>1</b:Pages>
    <b:Author>
      <b:Author>
        <b:NameList>
          <b:Person>
            <b:Last>Romero Cerezo</b:Last>
            <b:First>Cipriano </b:First>
          </b:Person>
        </b:NameList>
      </b:Author>
    </b:Author>
    <b:Volume>10</b:Volume>
    <b:Issue>80</b:Issue>
    <b:URL>https://www.efdeportes.com/efd80/futbol.htm</b:URL>
    <b:RefOrder>7</b:RefOrder>
  </b:Source>
  <b:Source>
    <b:Tag>Día10</b:Tag>
    <b:SourceType>Report</b:SourceType>
    <b:Guid>{3F1CA60B-E79E-460D-9CE7-3004B9D6E568}</b:Guid>
    <b:Title>ESTRATEGIAS COGNITIVAS EN  ALGUNOS DEPORTES INDIVIDUALES Y DE ADVERSARIO</b:Title>
    <b:Year>2010</b:Year>
    <b:Pages>46</b:Pages>
    <b:Publisher>Universidad de Malaga</b:Publisher>
    <b:City>Malaga - España</b:City>
    <b:Author>
      <b:Author>
        <b:NameList>
          <b:Person>
            <b:Last> Díaz Ocejo</b:Last>
            <b:First>Jaime </b:First>
          </b:Person>
        </b:NameList>
      </b:Author>
    </b:Author>
    <b:ThesisType>Tesis</b:ThesisType>
    <b:URL>https://riuma.uma.es/xmlui/bitstream/handle/10630/4619/TDR_DIAZ_OCEJO.pdf?sequence=6</b:URL>
    <b:RefOrder>8</b:RefOrder>
  </b:Source>
  <b:Source>
    <b:Tag>JIM12</b:Tag>
    <b:SourceType>Report</b:SourceType>
    <b:Guid>{6A89DFD8-C8EB-4757-991B-4F6DFEFF3913}</b:Guid>
    <b:Title>EL METODO GLOBAL, COMO HERRAMIENTA EN LA FORMACION DE LAS CAPACIDADES MOTRICES, DURANTE EL PROCESO DE ENSEÑANZA DEL TENIS DE CAMPO PARA NIÑOS DE 6 A 8 AÑOS EN LA ESCUELA DE TENIS DE CAMPO BACK SWING</b:Title>
    <b:Year>2012</b:Year>
    <b:Publisher>UNIVERSIDAD LIBRE DE COLOMBIA</b:Publisher>
    <b:City>Bogota - Colombia</b:City>
    <b:URL>https://repository.unilibre.edu.co/bitstream/handle/10901/9116/EL%20METODO%20GLOBAL%2C%20COMO%20HERRAMIENTA%20EN%20LA%20FORMACION%20DE%20LAS%20CAPACIDADES%20MOTRICES%2C%20DURANTE%20EL%20PROCES.pdf?sequence=1&amp;isAllowed=y</b:URL>
    <b:Author>
      <b:Author>
        <b:NameList>
          <b:Person>
            <b:Last> JIMÈNEZ</b:Last>
            <b:Middle> FREDY </b:Middle>
            <b:First>JHON </b:First>
          </b:Person>
          <b:Person>
            <b:Last> MOLINA</b:Last>
            <b:First>JEYSON</b:First>
          </b:Person>
          <b:Person>
            <b:Last> TOVAR</b:Last>
            <b:Middle>ANDRES </b:Middle>
            <b:First>JULIO </b:First>
          </b:Person>
        </b:NameList>
      </b:Author>
    </b:Author>
    <b:RefOrder>9</b:RefOrder>
  </b:Source>
  <b:Source>
    <b:Tag>Flo19</b:Tag>
    <b:SourceType>JournalArticle</b:SourceType>
    <b:Guid>{247A7C97-6D0A-4ADA-B340-B935AB3E02A4}</b:Guid>
    <b:Title>PROGRAMA DE ENSEÑANZA DE LA TÉCNICA DEL FÚTBOL A TRAVÉS DEL APRENDIZAJE SIGNIFICATIVO EN FUTBOLISTAS PRE JUVENILES</b:Title>
    <b:Year>2019</b:Year>
    <b:JournalName>In Crescendo</b:JournalName>
    <b:Pages>522</b:Pages>
    <b:Author>
      <b:Author>
        <b:NameList>
          <b:Person>
            <b:Last>Flores Contreras</b:Last>
            <b:Middle> Gonzalo </b:Middle>
            <b:First>Luis </b:First>
          </b:Person>
        </b:NameList>
      </b:Author>
    </b:Author>
    <b:Volume>3</b:Volume>
    <b:Issue>10</b:Issue>
    <b:URL>https://revistas.uladech.edu.pe/index.php/increscendo/article/view/2046/1549</b:URL>
    <b:RefOrder>10</b:RefOrder>
  </b:Source>
  <b:Source>
    <b:Tag>Ang00</b:Tag>
    <b:SourceType>JournalArticle</b:SourceType>
    <b:Guid>{3ED83432-FAB1-4C26-B9BA-72B7FDFA6D71}</b:Guid>
    <b:Author>
      <b:Author>
        <b:Corporate>Angel Vales Vazquez, Alberto Areces Gayo</b:Corporate>
      </b:Author>
    </b:Author>
    <b:Title>Dimensiones de la figura del entrenador profesional en los deportes de equipo</b:Title>
    <b:JournalName>Apunts: EducaClón FíSica y Deportes</b:JournalName>
    <b:Year>2000</b:Year>
    <b:Pages>61</b:Pages>
    <b:Issue>62</b:Issue>
    <b:URL>https://hemeroteca.revista-apunts.com/apunts/articulos/62/es/062_058_066_ES.pdf</b:URL>
    <b:RefOrder>11</b:RefOrder>
  </b:Source>
  <b:Source>
    <b:Tag>Cor81</b:Tag>
    <b:SourceType>JournalArticle</b:SourceType>
    <b:Guid>{CEDEB626-753C-4390-906B-4B9494ED4139}</b:Guid>
    <b:Title>METODOLOGIA PROPIA DE LA ENSEÑANZA DEL FUTBOL</b:Title>
    <b:Year>1981</b:Year>
    <b:Pages>42</b:Pages>
    <b:Author>
      <b:Author>
        <b:NameList>
          <b:Person>
            <b:Last>Cortés</b:Last>
            <b:First>Carlos</b:First>
            <b:Middle>Enrique</b:Middle>
          </b:Person>
        </b:NameList>
      </b:Author>
    </b:Author>
    <b:JournalName>Educación Física y Deporte</b:JournalName>
    <b:Volume>2</b:Volume>
    <b:Issue>3</b:Issue>
    <b:URL>file:///C:/Users/ALEX/Downloads/Dialnet-MetodologiaPropiaDeLaEnsenanzaDelFutbol-7349501%20(1).pdf</b:URL>
    <b:RefOrder>12</b:RefOrder>
  </b:Source>
  <b:Source>
    <b:Tag>Fra01</b:Tag>
    <b:SourceType>JournalArticle</b:SourceType>
    <b:Guid>{C3B215FB-5A2E-4017-8DEB-4BE0A4C5AB26}</b:Guid>
    <b:Title>Necesidad de formación psicopedagógica de los entrenadores deportivos.</b:Title>
    <b:Year>2001</b:Year>
    <b:Author>
      <b:Author>
        <b:NameList>
          <b:Person>
            <b:Last>Jimenez</b:Last>
            <b:First>Francisco</b:First>
          </b:Person>
          <b:Person>
            <b:Last>Rodríguez</b:Last>
            <b:First>Jose</b:First>
          </b:Person>
          <b:Person>
            <b:Last>Castillo</b:Last>
            <b:First>Estefania</b:First>
          </b:Person>
        </b:NameList>
      </b:Author>
    </b:Author>
    <b:JournalName>Universidad de Huelva</b:JournalName>
    <b:Pages>1</b:Pages>
    <b:URL>http://rabida.uhu.es/dspace/bitstream/handle/10272/6612/Necesidad_de_formacion.pdf?sequence=2</b:URL>
    <b:RefOrder>13</b:RefOrder>
  </b:Source>
  <b:Source>
    <b:Tag>Lui14</b:Tag>
    <b:SourceType>Report</b:SourceType>
    <b:Guid>{47241AB8-BBB5-4EC9-B88F-69F336123F0D}</b:Guid>
    <b:Title>ESTUDIO DE LAS ESTRATEGIAS METODOLÓGICAS PARA EL ENTRENAMIENTO DE LOS FUNDAMENTOS TÉCNICOS DEL FÚTBOL EN LOS DEPORTISTAS DE LAS CATEGORÍAS 14-16 AÑOS DE LAS ESCUELAS DE FÚTBOL DEL CLUB DEPORTIVO EL NACIONAL DEL DISTRITO METROPOLITANO DE QUITO AÑO 2012/201</b:Title>
    <b:Year>2014</b:Year>
    <b:Pages>134</b:Pages>
    <b:Publisher>UNIVERSIDAD TÉCNICA DEL NORTE</b:Publisher>
    <b:Author>
      <b:Author>
        <b:NameList>
          <b:Person>
            <b:Last>Tello</b:Last>
            <b:First>Luis</b:First>
            <b:Middle>Ernesto</b:Middle>
          </b:Person>
        </b:NameList>
      </b:Author>
    </b:Author>
    <b:URL>http://repositorio.utn.edu.ec/bitstream/123456789/4120/1/05%20FECYT%202058%20TESIS.pdf</b:URL>
    <b:RefOrder>14</b:RefOrder>
  </b:Source>
  <b:Source>
    <b:Tag>CEP16</b:Tag>
    <b:SourceType>ElectronicSource</b:SourceType>
    <b:Guid>{2FFFCE40-FE28-4A43-AF63-55DB2126D3FE}</b:Guid>
    <b:Title>Agenda 2030 y los Objetivos de Desarrollo Sostenible. Una oportunidad para América Latina y el Caribe</b:Title>
    <b:City>Santiago de Chile</b:City>
    <b:Year>2016</b:Year>
    <b:Author>
      <b:Author>
        <b:NameList>
          <b:Person>
            <b:Last>CEPAL</b:Last>
          </b:Person>
        </b:NameList>
      </b:Author>
    </b:Author>
    <b:Publisher>CEPAL</b:Publisher>
    <b:URL>https://www.cepal.org/es/publicaciones/40155-la-agenda-2030-objetivos-desarrollo-sostenible-oportunidad-america-latina-caribe</b:URL>
    <b:RefOrder>1</b:RefOrder>
  </b:Source>
  <b:Source>
    <b:Tag>Kas20</b:Tag>
    <b:SourceType>ElectronicSource</b:SourceType>
    <b:Guid>{20C95220-5327-4390-93E9-7146FA914942}</b:Guid>
    <b:Title>Educación para la ciudadanía mundial: su relevancia en el territorio</b:Title>
    <b:Year>2020</b:Year>
    <b:Author>
      <b:Author>
        <b:NameList>
          <b:Person>
            <b:Last>Kasman</b:Last>
            <b:First>Romina</b:First>
          </b:Person>
          <b:Person>
            <b:Last>Brown </b:Last>
            <b:First>María</b:First>
          </b:Person>
        </b:NameList>
      </b:Author>
    </b:Author>
    <b:URL>https://www.youtube.com/watch?v=AENfGPYgizs&amp;t=46s</b:URL>
    <b:RefOrder>2</b:RefOrder>
  </b:Source>
  <b:Source>
    <b:Tag>UNI08</b:Tag>
    <b:SourceType>Book</b:SourceType>
    <b:Guid>{96FEAF35-D963-4B81-817A-FF27F1732606}</b:Guid>
    <b:Author>
      <b:Author>
        <b:NameList>
          <b:Person>
            <b:Last>UNICEF</b:Last>
          </b:Person>
        </b:NameList>
      </b:Author>
    </b:Author>
    <b:Title>A Human rights-based approach to Education for All: a framework for the realization of children's right to education and rights within education</b:Title>
    <b:City>New York</b:City>
    <b:Year>2008</b:Year>
    <b:URL>https://unesdoc.unesco.org/ark:/48223/pf0000154861</b:URL>
    <b:RefOrder>3</b:RefOrder>
  </b:Source>
  <b:Source>
    <b:Tag>Cam20</b:Tag>
    <b:SourceType>JournalArticle</b:SourceType>
    <b:Guid>{1CA35215-7C74-42FA-9AF8-037534AFA479}</b:Guid>
    <b:Title>La familia como agente interactivo en los procesos educativos. Factor de inclusión y calidad escolar (es)</b:Title>
    <b:JournalName>Revista Nacional e Internacional de Educación Inclusiva.</b:JournalName>
    <b:Year>2020</b:Year>
    <b:Pages>213-237</b:Pages>
    <b:Author>
      <b:Author>
        <b:NameList>
          <b:Person>
            <b:Last>Campos</b:Last>
            <b:First>Blas</b:First>
          </b:Person>
        </b:NameList>
      </b:Author>
    </b:Author>
    <b:City>Jaén</b:City>
    <b:Volume>13, (2)</b:Volume>
    <b:URL>https://revistaeducacioninclusiva.es/index.php/REI/article/view/589/592</b:URL>
    <b:RefOrder>4</b:RefOrder>
  </b:Source>
  <b:Source>
    <b:Tag>OIM20</b:Tag>
    <b:SourceType>ArticleInAPeriodical</b:SourceType>
    <b:Guid>{89150702-C350-4768-BCC7-E2757CC007F8}</b:Guid>
    <b:Author>
      <b:Author>
        <b:NameList>
          <b:Person>
            <b:Last>OIM</b:Last>
          </b:Person>
        </b:NameList>
      </b:Author>
    </b:Author>
    <b:Title>Informe sobre las migraciones en el mundo 2020.</b:Title>
    <b:Year>2020</b:Year>
    <b:Pages>507</b:Pages>
    <b:City>Ginebra</b:City>
    <b:Publisher>Organización Internacional para las migraciones </b:Publisher>
    <b:URL>https://publications.iom.int/books/informe-sobre-las-migraciones-en-el- mundo-2020.</b:URL>
    <b:RefOrder>5</b:RefOrder>
  </b:Source>
  <b:Source>
    <b:Tag>Lon20</b:Tag>
    <b:SourceType>Book</b:SourceType>
    <b:Guid>{F654FD66-E900-4B5C-9004-C5582021B267}</b:Guid>
    <b:Title>Aprendizaje extraordinario en Finlandia</b:Title>
    <b:Year>2020</b:Year>
    <b:Pages>326</b:Pages>
    <b:City>Bogotá</b:City>
    <b:Publisher>Universidad de los Andes</b:Publisher>
    <b:Author>
      <b:Author>
        <b:NameList>
          <b:Person>
            <b:Last>Lonka</b:Last>
            <b:First>Kirtsti</b:First>
          </b:Person>
        </b:NameList>
      </b:Author>
      <b:Editor>
        <b:NameList>
          <b:Person>
            <b:Last>Uniandes</b:Last>
            <b:First>Ediciones</b:First>
          </b:Person>
        </b:NameList>
      </b:Editor>
    </b:Author>
    <b:RefOrder>6</b:RefOrder>
  </b:Source>
  <b:Source>
    <b:Tag>UNE20</b:Tag>
    <b:SourceType>ArticleInAPeriodical</b:SourceType>
    <b:Guid>{7B7A1F9C-D3E0-480E-B6F5-95F4A238FAD9}</b:Guid>
    <b:Author>
      <b:Author>
        <b:NameList>
          <b:Person>
            <b:Last>UNESCO</b:Last>
          </b:Person>
        </b:NameList>
      </b:Author>
    </b:Author>
    <b:Title>Informde de seguimiento de la educación en el mundo 2020. Inclusión y educación : TODOS Y TODAS SIN EXCEPCIÓN</b:Title>
    <b:Year>2020</b:Year>
    <b:Pages>459</b:Pages>
    <b:City>París</b:City>
    <b:URL>https://unesdoc.unesco.org/ark:/48223/pf0000374817</b:URL>
    <b:RefOrder>7</b:RefOrder>
  </b:Source>
  <b:Source>
    <b:Tag>Cor09</b:Tag>
    <b:SourceType>Book</b:SourceType>
    <b:Guid>{838769C0-66D8-4694-BBF4-46492E7DD89F}</b:Guid>
    <b:Title>Ciudadanos del mundo. Hacia una teoría de la ciudadanía</b:Title>
    <b:City>Madrid</b:City>
    <b:Year>2009</b:Year>
    <b:Author>
      <b:Author>
        <b:NameList>
          <b:Person>
            <b:Last>Cortina</b:Last>
            <b:First>Adela</b:First>
          </b:Person>
        </b:NameList>
      </b:Author>
    </b:Author>
    <b:Publisher>Alianza Editorial</b:Publisher>
    <b:Pages>222</b:Pages>
    <b:Edition>Tercera</b:Edition>
    <b:RefOrder>8</b:RefOrder>
  </b:Source>
  <b:Source>
    <b:Tag>Cor18</b:Tag>
    <b:SourceType>ElectronicSource</b:SourceType>
    <b:Guid>{A42090DB-F53E-46CC-A28A-2D60B2C2E3D1}</b:Guid>
    <b:Title>Aporofobia, el miedo a las personas pobres</b:Title>
    <b:Year>2018</b:Year>
    <b:City>Valencia</b:City>
    <b:Author>
      <b:Author>
        <b:NameList>
          <b:Person>
            <b:Last>Cortina</b:Last>
            <b:First>Adela</b:First>
          </b:Person>
        </b:NameList>
      </b:Author>
    </b:Author>
    <b:CountryRegion>España</b:CountryRegion>
    <b:URL>https://www.youtube.com/watch?v=ZODPxP68zT0</b:URL>
    <b:PublicationTitle>TEDxUPValència</b:PublicationTitle>
    <b:RefOrder>9</b:RefOrder>
  </b:Source>
  <b:Source>
    <b:Tag>Mon20</b:Tag>
    <b:SourceType>Book</b:SourceType>
    <b:Guid>{8FEEA6BF-6169-4945-BA2B-A27BE7247F84}</b:Guid>
    <b:Title>La buena suerte.</b:Title>
    <b:Year>2020</b:Year>
    <b:City>Bogotá</b:City>
    <b:Publisher>Alfaguara</b:Publisher>
    <b:Author>
      <b:Author>
        <b:NameList>
          <b:Person>
            <b:Last>Montero</b:Last>
            <b:First>Rosa</b:First>
          </b:Person>
        </b:NameList>
      </b:Author>
    </b:Author>
    <b:Pages>325</b:Pages>
    <b:Edition>Primera</b:Edition>
    <b:RefOrder>10</b:RefOrder>
  </b:Source>
  <b:Source>
    <b:Tag>Sah20</b:Tag>
    <b:SourceType>ElectronicSource</b:SourceType>
    <b:Guid>{5FDC0F72-D6BE-4795-AA48-37739091D714}</b:Guid>
    <b:Title>Repensando la educación lección del modelo de Educación finlandés</b:Title>
    <b:Year>2020</b:Year>
    <b:URL>https://www.youtube.com/watch?v=Zib-fDOhTfg</b:URL>
    <b:Author>
      <b:Author>
        <b:NameList>
          <b:Person>
            <b:Last>Sahlberg</b:Last>
            <b:First>Pasi </b:First>
          </b:Person>
        </b:NameList>
      </b:Author>
    </b:Author>
    <b:RefOrder>11</b:RefOrder>
  </b:Source>
  <b:Source>
    <b:Tag>Sah15</b:Tag>
    <b:SourceType>ArticleInAPeriodical</b:SourceType>
    <b:Guid>{2F36AEEF-205C-48AB-BCB5-D4407D7D1EE9}</b:Guid>
    <b:Title>Un sistema escolar modelo. Finlandia demuestra que la equidad y la excelencia pueden coexistir en la educación</b:Title>
    <b:City>Santiago de Chile</b:City>
    <b:Year>2015</b:Year>
    <b:Author>
      <b:Author>
        <b:NameList>
          <b:Person>
            <b:Last>Sahlberg</b:Last>
            <b:First>Pasi </b:First>
          </b:Person>
        </b:NameList>
      </b:Author>
    </b:Author>
    <b:PeriodicalTitle>Pensamiento Educativo. Revista de Investigación Educacional Latinoamericana</b:PeriodicalTitle>
    <b:Pages>136-145</b:Pages>
    <b:Publisher>PEL</b:Publisher>
    <b:Volume>52(1)</b:Volume>
    <b:URL>https://unae.edu.ec/wp-content/uploads/2019/11/un-sistema-escolar-modelo.pdf</b:URL>
    <b:DOI>10.7764/PEL.52.1.2015.10</b:DOI>
    <b:RefOrder>12</b:RefOrder>
  </b:Source>
  <b:Source>
    <b:Tag>Viá15</b:Tag>
    <b:SourceType>ArticleInAPeriodical</b:SourceType>
    <b:Guid>{3CB4F2BC-6E1E-47F0-8C73-250622C69BD1}</b:Guid>
    <b:Title>Desigualdad de oportunidades educativas en la población de 15 a 29 años en Brasil y Colombia según autoclasificación étnico-racial</b:Title>
    <b:PeriodicalTitle>sociedad y economía</b:PeriodicalTitle>
    <b:Year>2015</b:Year>
    <b:Pages>151-174</b:Pages>
    <b:Author>
      <b:Author>
        <b:NameList>
          <b:Person>
            <b:Last>Viáfara</b:Last>
            <b:First>Carlos </b:First>
          </b:Person>
          <b:Person>
            <b:Last>Serna</b:Last>
            <b:First>Nini </b:First>
          </b:Person>
        </b:NameList>
      </b:Author>
    </b:Author>
    <b:Volume>29</b:Volume>
    <b:URL>http://www.scielo.org.co/pdf/soec/n29/n29a08.pdf</b:URL>
    <b:RefOrder>13</b:RefOrder>
  </b:Source>
  <b:Source>
    <b:Tag>Igl20</b:Tag>
    <b:SourceType>ArticleInAPeriodical</b:SourceType>
    <b:Guid>{CC40B742-69A5-49AC-B77F-C1A4D50321E2}</b:Guid>
    <b:Title>¿PUEDE LA PERSONALIZACIÓN DEL APRENDIZAJE DE BASE COMUNITARIA CONTRIBUIR A LA EDUCACIÓN INCLUSIVA?</b:Title>
    <b:PeriodicalTitle>Revista Nacional e Internacional de Educación Inclusiva</b:PeriodicalTitle>
    <b:Year>2020</b:Year>
    <b:Author>
      <b:Author>
        <b:NameList>
          <b:Person>
            <b:Last>Iglesias</b:Last>
            <b:First>Edgar</b:First>
          </b:Person>
          <b:Person>
            <b:Last>Guitart</b:Last>
            <b:First>Moises</b:First>
          </b:Person>
        </b:NameList>
      </b:Author>
    </b:Author>
    <b:Volume>13, (2)</b:Volume>
    <b:Pages>196-212</b:Pages>
    <b:RefOrder>14</b:RefOrder>
  </b:Source>
  <b:Source>
    <b:Tag>Due10</b:Tag>
    <b:SourceType>JournalArticle</b:SourceType>
    <b:Guid>{147A48A1-D295-4B54-B061-EF33F837A954}</b:Guid>
    <b:Title>Educación Inclusiva</b:Title>
    <b:Year>2010</b:Year>
    <b:Volume>21, 2º Cuatrimestre, 2010</b:Volume>
    <b:Pages>358-366</b:Pages>
    <b:URL>http://revistas.uned.es/index.php/reop/article/view/11538/11014</b:URL>
    <b:DOI>https://doi.org/10.5944/reop.vol.21.num.2.2010.11538</b:DOI>
    <b:JournalName>REOP</b:JournalName>
    <b:Author>
      <b:Author>
        <b:NameList>
          <b:Person>
            <b:Last>Dueñas</b:Last>
            <b:First>María Luisa</b:First>
          </b:Person>
        </b:NameList>
      </b:Author>
    </b:Author>
    <b:RefOrder>15</b:RefOrder>
  </b:Source>
  <b:Source>
    <b:Tag>Cif20</b:Tag>
    <b:SourceType>JournalArticle</b:SourceType>
    <b:Guid>{07335994-1989-4D6F-AC38-D990DC5EFE9A}</b:Guid>
    <b:Title>Acoso escolar por orientación sexual, identidad y expresión de género en institutos de educación secundaria catalanes.</b:Title>
    <b:JournalName>Revista Nacional e Internacional de Educación Inclusiva.</b:JournalName>
    <b:Year>2020</b:Year>
    <b:Pages>153-174</b:Pages>
    <b:Author>
      <b:Author>
        <b:NameList>
          <b:Person>
            <b:Last>Cifuentes</b:Last>
            <b:First>Francisca</b:First>
          </b:Person>
          <b:Person>
            <b:Last>Medina</b:Last>
            <b:First>Javier</b:First>
          </b:Person>
          <b:Person>
            <b:Last>Carrer</b:Last>
            <b:First>Cristian</b:First>
          </b:Person>
        </b:NameList>
      </b:Author>
    </b:Author>
    <b:Volume>13, (2)</b:Volume>
    <b:URL>https://revistaeducacioninclusiva.es/index.php/REI/article/view/604/584</b:URL>
    <b:RefOrder>16</b:RefOrder>
  </b:Source>
  <b:Source>
    <b:Tag>Pér18</b:Tag>
    <b:SourceType>JournalArticle</b:SourceType>
    <b:Guid>{CFF59659-E0B4-405F-8146-3A3D284A55FF}</b:Guid>
    <b:Title>La formación humanista, un encargo para la educación.</b:Title>
    <b:JournalName>CONRADO Revista pedagógica de la Universidad de Cienfuegos</b:JournalName>
    <b:Year>2018</b:Year>
    <b:Pages>25-29</b:Pages>
    <b:Volume>14, (63), Abril-junio</b:Volume>
    <b:URL>http://scielo.sld.cu/pdf/rc/v14n63/1990-8644-rc-14-63-25.pdf</b:URL>
    <b:Author>
      <b:Author>
        <b:NameList>
          <b:Person>
            <b:Last>Pérez</b:Last>
            <b:First>María Caridad</b:First>
          </b:Person>
          <b:Person>
            <b:Last>Sánchez </b:Last>
            <b:First>Virginia </b:First>
          </b:Person>
        </b:NameList>
      </b:Author>
    </b:Author>
    <b:RefOrder>17</b:RefOrder>
  </b:Source>
  <b:Source>
    <b:Tag>Báx02</b:Tag>
    <b:SourceType>BookSection</b:SourceType>
    <b:Guid>{A0BF1034-4E5B-412A-BC5B-5C6857352635}</b:Guid>
    <b:Title>La escuela y la formación del hombre.</b:Title>
    <b:Year>2002</b:Year>
    <b:Pages>143-193</b:Pages>
    <b:Publisher>Instituto Central de Ciencias Pedagógicas (ICCP)</b:Publisher>
    <b:Author>
      <b:Author>
        <b:NameList>
          <b:Person>
            <b:Last>Báxter</b:Last>
            <b:First>Esther</b:First>
          </b:Person>
          <b:Person>
            <b:Last>Amador</b:Last>
            <b:First>Amelia </b:First>
          </b:Person>
          <b:Person>
            <b:Last>Bonet</b:Last>
            <b:First>Mirtha </b:First>
          </b:Person>
        </b:NameList>
      </b:Author>
      <b:BookAuthor>
        <b:NameList>
          <b:Person>
            <b:Last>Autores</b:Last>
            <b:First>Colectivo</b:First>
            <b:Middle>de</b:Middle>
          </b:Person>
        </b:NameList>
      </b:BookAuthor>
    </b:Author>
    <b:BookTitle>Compendio de Pedagogía</b:BookTitle>
    <b:RefOrder>18</b:RefOrder>
  </b:Source>
  <b:Source>
    <b:Tag>Gui15</b:Tag>
    <b:SourceType>JournalArticle</b:SourceType>
    <b:Guid>{2EB255B6-BD63-479C-BCA9-1DB17E21BD99}</b:Guid>
    <b:Title>Universitarias en España: De los inicios a la actualidad</b:Title>
    <b:Year>2015</b:Year>
    <b:Pages>125-148</b:Pages>
    <b:Publisher>Universidad Pedagógica y Tecnológica de Colombia</b:Publisher>
    <b:Volume>17, (24), enero-junio</b:Volume>
    <b:URL>https://www.redalyc.org/articulo.oa?id=86938947007</b:URL>
    <b:JournalName>Revista Historia de la Educación Latinoamericana.</b:JournalName>
    <b:Author>
      <b:Author>
        <b:NameList>
          <b:Person>
            <b:Last>Guil </b:Last>
            <b:First>Ana </b:First>
          </b:Person>
          <b:Person>
            <b:Last>Flecha </b:Last>
            <b:First>Consuelo </b:First>
          </b:Person>
        </b:NameList>
      </b:Author>
    </b:Author>
    <b:RefOrder>19</b:RefOrder>
  </b:Source>
  <b:Source>
    <b:Tag>Mar03</b:Tag>
    <b:SourceType>JournalArticle</b:SourceType>
    <b:Guid>{3F9089B3-9A22-459A-91F8-E5B3DDD91788}</b:Guid>
    <b:Title>Evolución del principio de igualdad en Estados Unidos. Nacimiento y desarrollo de las medidas de acción afirmativa en Derecho Estadounidense</b:Title>
    <b:JournalName>Revista española de derecho constitucional.</b:JournalName>
    <b:Year>2003</b:Year>
    <b:Pages>151-194</b:Pages>
    <b:Author>
      <b:Author>
        <b:NameList>
          <b:Person>
            <b:Last>Martín</b:Last>
            <b:First>María Ángeles</b:First>
          </b:Person>
        </b:NameList>
      </b:Author>
    </b:Author>
    <b:Volume>23, (68)</b:Volume>
    <b:URL>https://dialnet.unirioja.es/servlet/articulo?codigo=716855</b:URL>
    <b:RefOrder>20</b:RefOrder>
  </b:Source>
  <b:Source>
    <b:Tag>ONU48</b:Tag>
    <b:SourceType>ElectronicSource</b:SourceType>
    <b:Guid>{5E884BD8-2340-4514-BCF1-01DA430DE052}</b:Guid>
    <b:Title>Declaración Universal de los derechos humanos.</b:Title>
    <b:Year>1948</b:Year>
    <b:Author>
      <b:Author>
        <b:NameList>
          <b:Person>
            <b:Last>ONU</b:Last>
          </b:Person>
        </b:NameList>
      </b:Author>
    </b:Author>
    <b:URL>https://www.un.org/es/about-us/universal-declaration-of-human-rights</b:URL>
    <b:RefOrder>21</b:RefOrder>
  </b:Source>
  <b:Source>
    <b:Tag>Iba20</b:Tag>
    <b:SourceType>InternetSite</b:SourceType>
    <b:Guid>{C02A2301-0E0A-4CEA-8B81-509EFE2FE216}</b:Guid>
    <b:Title>Observatorio de Innovación Educativa</b:Title>
    <b:Year>2020</b:Year>
    <b:Author>
      <b:Author>
        <b:NameList>
          <b:Person>
            <b:Last>Ibáñez</b:Last>
            <b:First>Fernanda</b:First>
          </b:Person>
        </b:NameList>
      </b:Author>
    </b:Author>
    <b:Month>noviembre</b:Month>
    <b:Day>20</b:Day>
    <b:URL>https://observatorio.tec.mx/edu-news/diferencias-educacion-online-virtual-a-distancia-remota</b:URL>
    <b:RefOrder>1</b:RefOrder>
  </b:Source>
  <b:Source>
    <b:Tag>Jul21</b:Tag>
    <b:SourceType>InternetSite</b:SourceType>
    <b:Guid>{301CE035-B042-4129-9260-69E78384EE75}</b:Guid>
    <b:Author>
      <b:Author>
        <b:NameList>
          <b:Person>
            <b:Last>Máxima</b:Last>
            <b:First>Julia</b:First>
          </b:Person>
        </b:NameList>
      </b:Author>
    </b:Author>
    <b:Title>Caraterísticas</b:Title>
    <b:Year>2021</b:Year>
    <b:Month>junio</b:Month>
    <b:Day>10</b:Day>
    <b:URL>https://www.caracteristicas.co/educacion-a-distancia/</b:URL>
    <b:RefOrder>2</b:RefOrder>
  </b:Source>
  <b:Source>
    <b:Tag>UNI20</b:Tag>
    <b:SourceType>InternetSite</b:SourceType>
    <b:Guid>{2579A04D-8F2F-4DE8-85C9-CA47E1E5ECC4}</b:Guid>
    <b:Author>
      <b:Author>
        <b:NameList>
          <b:Person>
            <b:Last>UNIR</b:Last>
          </b:Person>
        </b:NameList>
      </b:Author>
    </b:Author>
    <b:Title>La Universidad en Internet</b:Title>
    <b:Year>2020</b:Year>
    <b:Month>diciembre</b:Month>
    <b:Day>04</b:Day>
    <b:URL>https://ecuador.unir.net/actualidad-unir/educacion-en-linea-caracteristicas/</b:URL>
    <b:RefOrder>3</b:RefOrder>
  </b:Source>
  <b:Source>
    <b:Tag>Rod19</b:Tag>
    <b:SourceType>JournalArticle</b:SourceType>
    <b:Guid>{720B1949-BA4D-4DBE-8B59-3B05844F265F}</b:Guid>
    <b:Title>AMBIENTES DE APRENDIZAJE</b:Title>
    <b:Year>2019</b:Year>
    <b:URL>https://www.uaeh.edu.mx/scige/boletin/huejutla/n4/e1.html#refe0</b:URL>
    <b:Author>
      <b:Author>
        <b:NameList>
          <b:Person>
            <b:Last>Rodríguez</b:Last>
            <b:First>Higor</b:First>
          </b:Person>
        </b:NameList>
      </b:Author>
    </b:Author>
    <b:JournalName>Universidad Autónoma del Estado de Hidalgo</b:JournalName>
    <b:RefOrder>4</b:RefOrder>
  </b:Source>
  <b:Source>
    <b:Tag>Mai21</b:Tag>
    <b:SourceType>InternetSite</b:SourceType>
    <b:Guid>{7D73C917-F738-449D-8469-8286EF4C09C7}</b:Guid>
    <b:Title>LIDEFER</b:Title>
    <b:Year>2021</b:Year>
    <b:Author>
      <b:Author>
        <b:NameList>
          <b:Person>
            <b:Last>Ayala</b:Last>
            <b:First>Maite</b:First>
          </b:Person>
        </b:NameList>
      </b:Author>
    </b:Author>
    <b:Month>enero</b:Month>
    <b:Day>19</b:Day>
    <b:URL>https://www.lifeder.com/ambientes-aprendizaje/</b:URL>
    <b:RefOrder>5</b:RefOrder>
  </b:Source>
  <b:Source>
    <b:Tag>Jor20</b:Tag>
    <b:SourceType>InternetSite</b:SourceType>
    <b:Guid>{14DB3953-D0B5-4D16-9444-1EA13990DF57}</b:Guid>
    <b:Author>
      <b:Author>
        <b:NameList>
          <b:Person>
            <b:Last>Hernández</b:Last>
            <b:First>Jorge</b:First>
            <b:Middle>Guerrero</b:Middle>
          </b:Person>
        </b:NameList>
      </b:Author>
    </b:Author>
    <b:Title>Docentes al día</b:Title>
    <b:Year>2020</b:Year>
    <b:Month>julio</b:Month>
    <b:Day>5</b:Day>
    <b:URL>https://docentesaldia.com/2020/07/05/los-ambientes-de-aprendizaje-definicion-caracteristicas-y-recomendaciones/</b:URL>
    <b:RefOrder>6</b:RefOrder>
  </b:Source>
  <b:Source>
    <b:Tag>Mar202</b:Tag>
    <b:SourceType>InternetSite</b:SourceType>
    <b:Guid>{9D8C2C86-7F36-4CC4-BADB-5D99AEEE4277}</b:Guid>
    <b:Author>
      <b:Author>
        <b:NameList>
          <b:Person>
            <b:Last>Raffino</b:Last>
            <b:First>María</b:First>
            <b:Middle>Estela</b:Middle>
          </b:Person>
        </b:NameList>
      </b:Author>
    </b:Author>
    <b:Title>Concepto de</b:Title>
    <b:Year>2020</b:Year>
    <b:Month>noviembre</b:Month>
    <b:Day>30</b:Day>
    <b:URL>https://concepto.de/recursos-tecnologicos/</b:URL>
    <b:RefOrder>7</b:RefOrder>
  </b:Source>
  <b:Source>
    <b:Tag>Ros191</b:Tag>
    <b:SourceType>InternetSite</b:SourceType>
    <b:Guid>{95B2A5D7-1AAF-4DC0-96C9-A8E1CB9C1836}</b:Guid>
    <b:Title>Economipedia</b:Title>
    <b:Year>2019</b:Year>
    <b:Month>julio</b:Month>
    <b:Day>08</b:Day>
    <b:URL>https://economipedia.com/definiciones/pagina-web.html</b:URL>
    <b:Author>
      <b:Author>
        <b:NameList>
          <b:Person>
            <b:Last>Peiró</b:Last>
            <b:First>Rosario</b:First>
          </b:Person>
        </b:NameList>
      </b:Author>
    </b:Author>
    <b:RefOrder>8</b:RefOrder>
  </b:Source>
  <b:Source>
    <b:Tag>Rub21</b:Tag>
    <b:SourceType>InternetSite</b:SourceType>
    <b:Guid>{4CACA99C-DE8C-41E2-AF1E-DDD801E9AE14}</b:Guid>
    <b:Author>
      <b:Author>
        <b:NameList>
          <b:Person>
            <b:Last>Alonso</b:Last>
            <b:First>Rubén</b:First>
          </b:Person>
        </b:NameList>
      </b:Author>
    </b:Author>
    <b:Title>Mi Posicionamiento Web</b:Title>
    <b:Year>2021</b:Year>
    <b:Month>abril</b:Month>
    <b:Day>07</b:Day>
    <b:URL>https://miposicionamientoweb.es/que-es-un-blog-para-que-sirve/</b:URL>
    <b:RefOrder>9</b:RefOrder>
  </b:Source>
  <b:Source>
    <b:Tag>UNI201</b:Tag>
    <b:SourceType>InternetSite</b:SourceType>
    <b:Guid>{5F1DE2B3-9111-4792-A8F2-C93049559872}</b:Guid>
    <b:Title>La Universidad en Internet</b:Title>
    <b:Year>2020</b:Year>
    <b:Month>octubre</b:Month>
    <b:Day>09</b:Day>
    <b:URL>https://www.unir.net/educacion/revista/pizarra-digital-en-el-aula/</b:URL>
    <b:LCID>es-EC</b:LCID>
    <b:Author>
      <b:Author>
        <b:NameList>
          <b:Person>
            <b:Last>UNIR</b:Last>
          </b:Person>
        </b:NameList>
      </b:Author>
    </b:Author>
    <b:RefOrder>10</b:RefOrder>
  </b:Source>
  <b:Source>
    <b:Tag>Jon20</b:Tag>
    <b:SourceType>InternetSite</b:SourceType>
    <b:Guid>{770AAC88-ECBD-49DA-834E-9E409D6CDB65}</b:Guid>
    <b:Author>
      <b:Author>
        <b:NameList>
          <b:Person>
            <b:Last>Llamas</b:Last>
            <b:First>Jonathan</b:First>
          </b:Person>
        </b:NameList>
      </b:Author>
    </b:Author>
    <b:Title>Economipedia</b:Title>
    <b:Year>2020</b:Year>
    <b:Month>septiembre</b:Month>
    <b:Day>08</b:Day>
    <b:URL>https://economipedia.com/definiciones/software-educativo.html</b:URL>
    <b:RefOrder>11</b:RefOrder>
  </b:Source>
  <b:Source>
    <b:Tag>Saa18</b:Tag>
    <b:SourceType>JournalArticle</b:SourceType>
    <b:Guid>{74CE937B-7C25-4EBA-BEF9-457A7A53203E}</b:Guid>
    <b:Title>NIÑOS CON RENDIMIENTO ESCOLAR NORMAL EN EL SISTEMA EDUCAT IVO CHILENO</b:Title>
    <b:Year>2018</b:Year>
    <b:URL>https://rieoei.org/historico/deloslectores/410Saavedra.pdf</b:URL>
    <b:Author>
      <b:Author>
        <b:NameList>
          <b:Person>
            <b:Last>Saavedra</b:Last>
            <b:First>Erika</b:First>
          </b:Person>
        </b:NameList>
      </b:Author>
    </b:Author>
    <b:JournalName>Revista Iberoamericana de Educación</b:JournalName>
    <b:Pages>1-9</b:Pages>
    <b:RefOrder>12</b:RefOrder>
  </b:Source>
  <b:Source>
    <b:Tag>Gis18</b:Tag>
    <b:SourceType>DocumentFromInternetSite</b:SourceType>
    <b:Guid>{0138416F-6E5C-494A-A700-84807F256714}</b:Guid>
    <b:Title>Repositorio UASB</b:Title>
    <b:Year>2018</b:Year>
    <b:Author>
      <b:Author>
        <b:NameList>
          <b:Person>
            <b:Last>De La A</b:Last>
            <b:First>Gisela</b:First>
          </b:Person>
        </b:NameList>
      </b:Author>
    </b:Author>
    <b:Month>noviembre</b:Month>
    <b:Day>8</b:Day>
    <b:URL>https://repositorio.uasb.edu.ec/bitstream/10644/6377/1/T2718-MGE-De%20La%20A-Analisis.pdf</b:URL>
    <b:RefOrder>13</b:RefOrder>
  </b:Source>
  <b:Source>
    <b:Tag>Fra13</b:Tag>
    <b:SourceType>Report</b:SourceType>
    <b:Guid>{FB25928B-ADD3-4699-B565-1EBA0DEEE1C7}</b:Guid>
    <b:Author>
      <b:Author>
        <b:NameList>
          <b:Person>
            <b:Last>Arranz</b:Last>
            <b:First>Francisco</b:First>
          </b:Person>
        </b:NameList>
      </b:Author>
    </b:Author>
    <b:Title>Educacion Infantil</b:Title>
    <b:Year>2013</b:Year>
    <b:City>Quito</b:City>
    <b:Publisher>Santillan</b:Publisher>
    <b:RefOrder>1</b:RefOrder>
  </b:Source>
  <b:Source>
    <b:Tag>Ovi14</b:Tag>
    <b:SourceType>Book</b:SourceType>
    <b:Guid>{7DEBDD06-B01F-4071-B89E-11D12F9900D3}</b:Guid>
    <b:Title>Investigaciones y Desafíos para la docencia del siglo XXI.</b:Title>
    <b:Year>2014</b:Year>
    <b:Pages>P. 20-35.</b:Pages>
    <b:Author>
      <b:Author>
        <b:NameList>
          <b:Person>
            <b:Last>Oviedo PE</b:Last>
            <b:First>Camacho</b:First>
            <b:Middle>R.</b:Middle>
          </b:Person>
        </b:NameList>
      </b:Author>
    </b:Author>
    <b:Publisher>Editorial Kimpres</b:Publisher>
    <b:RefOrder>2</b:RefOrder>
  </b:Source>
  <b:Source>
    <b:Tag>Res03</b:Tag>
    <b:SourceType>Book</b:SourceType>
    <b:Guid>{9C40414A-84AD-4683-B41A-07F53D92D1F0}</b:Guid>
    <b:Author>
      <b:Author>
        <b:NameList>
          <b:Person>
            <b:Last>Restrepo</b:Last>
            <b:First>B</b:First>
          </b:Person>
        </b:NameList>
      </b:Author>
    </b:Author>
    <b:Title>Investigación Formativa e Investigación Productiva de Conocimiento en la Universidad Nómadas</b:Title>
    <b:Year>2003</b:Year>
    <b:Edition>18:195-202.</b:Edition>
    <b:RefOrder>3</b:RefOrder>
  </b:Source>
  <b:Source>
    <b:Tag>Big18</b:Tag>
    <b:SourceType>Book</b:SourceType>
    <b:Guid>{BAC59594-84CF-494B-BEF3-3482BA98D853}</b:Guid>
    <b:Author>
      <b:Author>
        <b:NameList>
          <b:Person>
            <b:Last>Biggs</b:Last>
            <b:First>J</b:First>
          </b:Person>
        </b:NameList>
      </b:Author>
    </b:Author>
    <b:Title>Calidad del aprendizaje universitario</b:Title>
    <b:Year>2018</b:Year>
    <b:City> Madrid</b:City>
    <b:Publisher> ES: Narcea.</b:Publisher>
    <b:RefOrder>4</b:RefOrder>
  </b:Source>
  <b:Source>
    <b:Tag>Rué17</b:Tag>
    <b:SourceType>Book</b:SourceType>
    <b:Guid>{8F1E3FF1-8941-4C37-B6F6-4BD1F6C1E8A4}</b:Guid>
    <b:Author>
      <b:Author>
        <b:NameList>
          <b:Person>
            <b:Last>Rué</b:Last>
            <b:First>J.</b:First>
          </b:Person>
        </b:NameList>
      </b:Author>
    </b:Author>
    <b:Title>Enseñar en la universidad. El EEES como reto para la educación superior.</b:Title>
    <b:Year>2017</b:Year>
    <b:City>Madrid</b:City>
    <b:Publisher>ES: Narcea.</b:Publisher>
    <b:RefOrder>5</b:RefOrder>
  </b:Source>
  <b:Source>
    <b:Tag>UNE141</b:Tag>
    <b:SourceType>Report</b:SourceType>
    <b:Guid>{628F926F-CFBA-4D8E-846D-4DF9B03DAC5D}</b:Guid>
    <b:Author>
      <b:Author>
        <b:NameList>
          <b:Person>
            <b:Last>UNESCO</b:Last>
          </b:Person>
        </b:NameList>
      </b:Author>
    </b:Author>
    <b:Title>Las tecnologías de la información y la comunicación en la formación docente</b:Title>
    <b:Year>2014</b:Year>
    <b:City>Paris</b:City>
    <b:Publisher>Informe</b:Publisher>
    <b:RefOrder>6</b:RefOrder>
  </b:Source>
  <b:Source>
    <b:Tag>Obl15</b:Tag>
    <b:SourceType>Book</b:SourceType>
    <b:Guid>{FCF5F828-1B76-424B-9E91-E570429800E6}</b:Guid>
    <b:Author>
      <b:Author>
        <b:NameList>
          <b:Person>
            <b:Last>Oblinger</b:Last>
            <b:First>D.</b:First>
            <b:Middle>y Oblinger, J.</b:Middle>
          </b:Person>
        </b:NameList>
      </b:Author>
    </b:Author>
    <b:Title>Educating the Net Generation</b:Title>
    <b:Year>2015</b:Year>
    <b:Publisher>EDUCAUSE</b:Publisher>
    <b:City>Washington DC</b:City>
    <b:RefOrder>7</b:RefOrder>
  </b:Source>
  <b:Source>
    <b:Tag>Gar17</b:Tag>
    <b:SourceType>Book</b:SourceType>
    <b:Guid>{B56A416D-C4E5-4895-9E4F-D10703D09EF9}</b:Guid>
    <b:Author>
      <b:Author>
        <b:NameList>
          <b:Person>
            <b:Last>García</b:Last>
            <b:First>I.,</b:First>
            <b:Middle>Gros, B.</b:Middle>
          </b:Person>
          <b:Person>
            <b:Last>Escofet</b:Last>
            <b:First>A.</b:First>
          </b:Person>
        </b:NameList>
      </b:Author>
    </b:Author>
    <b:Title>a influencia del género en la cultura digital del estudiantado universitario. </b:Title>
    <b:Year>2017</b:Year>
    <b:City>Athenea </b:City>
    <b:Publisher>Digital: Revista de pensamiento e investigación social </b:Publisher>
    <b:RefOrder>8</b:RefOrder>
  </b:Source>
  <b:Source>
    <b:Tag>Dra08</b:Tag>
    <b:SourceType>Book</b:SourceType>
    <b:Guid>{5A141377-4EBA-40AA-9D93-BF9744ACD28B}</b:Guid>
    <b:Author>
      <b:Author>
        <b:NameList>
          <b:Person>
            <b:Last>Gutiérrez</b:Last>
            <b:First>Ofelia</b:First>
            <b:Middle>Ángeles</b:Middle>
          </b:Person>
        </b:NameList>
      </b:Author>
    </b:Author>
    <b:Title>El profesor como mediador o facilitador del aprendizaje</b:Title>
    <b:Year>2008</b:Year>
    <b:City>Mexico</b:City>
    <b:Publisher>Ama</b:Publisher>
    <b:RefOrder>9</b:RefOrder>
  </b:Source>
  <b:Source>
    <b:Tag>Ber17</b:Tag>
    <b:SourceType>Book</b:SourceType>
    <b:Guid>{CC791107-16EF-4A7E-ACBF-6F79881A9889}</b:Guid>
    <b:Author>
      <b:Author>
        <b:NameList>
          <b:Person>
            <b:Last>Gómez</b:Last>
            <b:First>Bernardo</b:First>
            <b:Middle>Restrepo</b:Middle>
          </b:Person>
        </b:NameList>
      </b:Author>
    </b:Author>
    <b:Title>Conceptos y Aplicaciones de la Investigación Formativa, y Criterios para Evaluar la Investigación científica en sentido estricto. </b:Title>
    <b:Year>2017</b:Year>
    <b:City>Colombia</b:City>
    <b:RefOrder>10</b:RefOrder>
  </b:Source>
  <b:Source>
    <b:Tag>Roc20</b:Tag>
    <b:SourceType>JournalArticle</b:SourceType>
    <b:Guid>{1E3EEDDB-9D63-4A0C-BDC1-FAE0FD98D370}</b:Guid>
    <b:Title>La metodología de la enseñanza aprendizaje en la educación superior: algunas reflexiones</b:Title>
    <b:Year>2020</b:Year>
    <b:Author>
      <b:Author>
        <b:NameList>
          <b:Person>
            <b:Last>Rochina</b:Last>
            <b:First>Chileno</b:First>
            <b:Middle>Segundo</b:Middle>
          </b:Person>
          <b:Person>
            <b:Last>Ortiz</b:Last>
            <b:First>Serrano</b:First>
            <b:Middle>Juan Carlos</b:Middle>
          </b:Person>
          <b:Person>
            <b:Last>Paguay</b:Last>
            <b:First>Chacha</b:First>
            <b:Middle>Lilián</b:Middle>
          </b:Person>
        </b:NameList>
      </b:Author>
    </b:Author>
    <b:JournalName>Revista Universidad y Sociedad</b:JournalName>
    <b:Pages>4</b:Pages>
    <b:RefOrder>11</b:RefOrder>
  </b:Source>
  <b:Source>
    <b:Tag>Fon20</b:Tag>
    <b:SourceType>JournalArticle</b:SourceType>
    <b:Guid>{A4EC0870-5595-4C6E-BBA2-F74C4D9ADA2D}</b:Guid>
    <b:Author>
      <b:Author>
        <b:NameList>
          <b:Person>
            <b:Last>Fondo</b:Last>
            <b:First>Maria</b:First>
            <b:Middle>del Carmen</b:Middle>
          </b:Person>
        </b:NameList>
      </b:Author>
    </b:Author>
    <b:Title>El uso creativo del Teto literario en la enseñanza/aprendizaje de ELE</b:Title>
    <b:JournalName>Revista Iberoamericana de educación</b:JournalName>
    <b:Year>2020</b:Year>
    <b:Pages>18</b:Pages>
    <b:RefOrder>12</b:RefOrder>
  </b:Source>
  <b:Source>
    <b:Tag>Día14</b:Tag>
    <b:SourceType>Book</b:SourceType>
    <b:Guid>{9FAB853F-4A95-431A-9026-E11B03D34106}</b:Guid>
    <b:Author>
      <b:Author>
        <b:NameList>
          <b:Person>
            <b:Last>Díaz Barriga</b:Last>
            <b:First>Á.</b:First>
            <b:Middle>&amp; Luna Miranda, A. B.</b:Middle>
          </b:Person>
        </b:NameList>
      </b:Author>
    </b:Author>
    <b:Title>Metodología de la investigación educativa</b:Title>
    <b:Year>2014</b:Year>
    <b:City>Mexico</b:City>
    <b:Publisher>Diaz de Santos</b:Publisher>
    <b:RefOrder>13</b:RefOrder>
  </b:Source>
  <b:Source>
    <b:Tag>Her98</b:Tag>
    <b:SourceType>Book</b:SourceType>
    <b:Guid>{E6A97041-72B5-47C5-A4C5-15EE5046D8A8}</b:Guid>
    <b:Title>Metodología de la investigación</b:Title>
    <b:Year>2018</b:Year>
    <b:City>Mexico</b:City>
    <b:Publisher>MC</b:Publisher>
    <b:Author>
      <b:Author>
        <b:NameList>
          <b:Person>
            <b:Last>Hernández Sampieri</b:Last>
            <b:First>Roberto,</b:First>
            <b:Middle>Fernández Collado, Carlos y Baptista Lucio, Pilar.</b:Middle>
          </b:Person>
        </b:NameList>
      </b:Author>
    </b:Author>
    <b:RefOrder>14</b:RefOrder>
  </b:Source>
  <b:Source>
    <b:Tag>Rui96</b:Tag>
    <b:SourceType>Book</b:SourceType>
    <b:Guid>{6ACE4AF1-0237-4246-967D-A4587DC15683}</b:Guid>
    <b:Author>
      <b:Author>
        <b:NameList>
          <b:Person>
            <b:Last>Ruiz Olabuénaga</b:Last>
            <b:First>J.I.</b:First>
          </b:Person>
        </b:NameList>
      </b:Author>
    </b:Author>
    <b:Title>Metodología de investigación cualitativa</b:Title>
    <b:Year>2016</b:Year>
    <b:City>Bilbao</b:City>
    <b:Publisher>Deusto</b:Publisher>
    <b:RefOrder>15</b:RefOrder>
  </b:Source>
  <b:Source>
    <b:Tag>PIN94</b:Tag>
    <b:SourceType>Report</b:SourceType>
    <b:Guid>{4392270A-5619-4D59-92EC-13E9D9D6D6A9}</b:Guid>
    <b:Author>
      <b:Author>
        <b:NameList>
          <b:Person>
            <b:Last>Pineda</b:Last>
            <b:First>Beatriz</b:First>
          </b:Person>
          <b:Person>
            <b:Last>de Alvarado O</b:Last>
            <b:First>Eva</b:First>
            <b:Middle>Luz</b:Middle>
          </b:Person>
          <b:Person>
            <b:Last>de Canales</b:Last>
            <b:First>Francisca</b:First>
          </b:Person>
        </b:NameList>
      </b:Author>
    </b:Author>
    <b:Title>Metodología de la investigación</b:Title>
    <b:Year>2014</b:Year>
    <b:Publisher>ED</b:Publisher>
    <b:City>Whanshington</b:City>
    <b:RefOrder>16</b:RefOrder>
  </b:Source>
  <b:Source>
    <b:Tag>Mej05</b:Tag>
    <b:SourceType>Book</b:SourceType>
    <b:Guid>{5E37AEEF-4569-47E7-BA69-9C64CE78CB96}</b:Guid>
    <b:Author>
      <b:Author>
        <b:NameList>
          <b:Person>
            <b:Last>Mejía Mejía</b:Last>
            <b:First>Elías</b:First>
          </b:Person>
        </b:NameList>
      </b:Author>
    </b:Author>
    <b:Title>Metodología de la Investigación Científica</b:Title>
    <b:Year>2005</b:Year>
    <b:City>Lima</b:City>
    <b:Publisher>UNMSM</b:Publisher>
    <b:RefOrder>17</b:RefOrder>
  </b:Source>
  <b:Source>
    <b:Tag>AMA14</b:Tag>
    <b:SourceType>Book</b:SourceType>
    <b:Guid>{0B4599B5-4D29-4BE7-BD09-11C907F964EB}</b:Guid>
    <b:Author>
      <b:Author>
        <b:NameList>
          <b:Person>
            <b:Last>Ariza</b:Last>
            <b:First>A.M.,</b:First>
            <b:Middle>Salazar. C.</b:Middle>
          </b:Person>
        </b:NameList>
      </b:Author>
    </b:Author>
    <b:Title>Lineamientos de investigación</b:Title>
    <b:Year>2014</b:Year>
    <b:City>Colombia</b:City>
    <b:Publisher>Asociación Colombiana</b:Publisher>
    <b:Pages>p. 10-15</b:Pages>
    <b:RefOrder>18</b:RefOrder>
  </b:Source>
  <b:Source>
    <b:Tag>Gue14</b:Tag>
    <b:SourceType>Book</b:SourceType>
    <b:Guid>{B6524C87-E0EE-456D-BD90-B0D7324EB079}</b:Guid>
    <b:Author>
      <b:Author>
        <b:NameList>
          <b:Person>
            <b:Last>Guerrero</b:Last>
          </b:Person>
        </b:NameList>
      </b:Author>
    </b:Author>
    <b:Title>Metodologías activas y aprendizaje por descubrimiento. Las TIC y la educación.</b:Title>
    <b:Year>2014</b:Year>
    <b:City>Peru</b:City>
    <b:Pages>17</b:Pages>
    <b:RefOrder>19</b:RefOrder>
  </b:Source>
  <b:Source>
    <b:Tag>Gon04</b:Tag>
    <b:SourceType>Book</b:SourceType>
    <b:Guid>{CFBF01B9-9C37-4204-B6A2-9E11E70A6416}</b:Guid>
    <b:Author>
      <b:Author>
        <b:NameList>
          <b:Person>
            <b:Last>González J</b:Last>
            <b:First>Wagenaar</b:First>
            <b:Middle>R.</b:Middle>
          </b:Person>
        </b:NameList>
      </b:Author>
    </b:Author>
    <b:Title>Tuning Educational Structures in Europe Informe Fina</b:Title>
    <b:Year>2004</b:Year>
    <b:City>Bilbao</b:City>
    <b:Publisher>Universidad de Deusto</b:Publisher>
    <b:Edition>1</b:Edition>
    <b:RefOrder>20</b:RefOrder>
  </b:Source>
  <b:Source>
    <b:Tag>Áng03</b:Tag>
    <b:SourceType>Report</b:SourceType>
    <b:Guid>{A50175C1-143D-458B-9FB1-1BC8D234AC81}</b:Guid>
    <b:Author>
      <b:Author>
        <b:NameList>
          <b:Person>
            <b:Last>Ángeles</b:Last>
            <b:First>O.</b:First>
          </b:Person>
        </b:NameList>
      </b:Author>
    </b:Author>
    <b:Title>Enfoques y modelos educativos centrados en el aprendizaje: Estado del arte y propuestas para su operativización en las Instituciones de Educación Superior Nacionales.</b:Title>
    <b:Year>2013</b:Year>
    <b:City>Guadalajara</b:City>
    <b:RefOrder>21</b:RefOrder>
  </b:Source>
  <b:Source>
    <b:Tag>DoP11</b:Tag>
    <b:SourceType>Book</b:SourceType>
    <b:Guid>{8078AA78-9F2B-429B-9613-3E6240D8ED32}</b:Guid>
    <b:Author>
      <b:Author>
        <b:NameList>
          <b:Person>
            <b:Last>Do Prado M</b:Last>
            <b:First>Medina</b:First>
            <b:Middle>J, Martínez J.</b:Middle>
          </b:Person>
        </b:NameList>
      </b:Author>
      <b:Editor>
        <b:NameList>
          <b:Person>
            <b:Last>Contexto</b:Last>
          </b:Person>
        </b:NameList>
      </b:Editor>
    </b:Author>
    <b:Title>La producción del conocimiento en educación en España y Brasil</b:Title>
    <b:Year>2011</b:Year>
    <b:Publisher>una revisión integrativa.</b:Publisher>
    <b:Edition>20 (3)</b:Edition>
    <b:Pages>607-15</b:Pages>
    <b:RefOrder>22</b:RefOrder>
  </b:Source>
  <b:Source>
    <b:Tag>Rob70</b:Tag>
    <b:SourceType>Book</b:SourceType>
    <b:Guid>{D9BB935D-9F46-4A03-8153-F45AE5BB64DF}</b:Guid>
    <b:Title>Las condiciones del aprendizaje</b:Title>
    <b:Year>1970</b:Year>
    <b:Publisher>Aguila</b:Publisher>
    <b:City>Madrid</b:City>
    <b:Author>
      <b:Author>
        <b:NameList>
          <b:Person>
            <b:Last>Gagné</b:Last>
            <b:First>Robert</b:First>
          </b:Person>
        </b:NameList>
      </b:Author>
    </b:Author>
    <b:RefOrder>23</b:RefOrder>
  </b:Source>
  <b:Source>
    <b:Tag>MAZ91</b:Tag>
    <b:SourceType>Book</b:SourceType>
    <b:Guid>{A4B5B11B-CF7D-423D-B096-482EC3486F19}</b:Guid>
    <b:Author>
      <b:Author>
        <b:NameList>
          <b:Person>
            <b:Last>Zabalza</b:Last>
            <b:First>M.A.</b:First>
          </b:Person>
        </b:NameList>
      </b:Author>
    </b:Author>
    <b:Title>Fundamentos de la Didáctica y del conocimiento didáctico.  El currículo Fundamentación, Diseño, Desarrollo y Educación</b:Title>
    <b:Year>1991</b:Year>
    <b:City>Madrid</b:City>
    <b:Publisher>Sevillano</b:Publisher>
    <b:RefOrder>24</b:RefOrder>
  </b:Source>
  <b:Source>
    <b:Tag>DGa03</b:Tag>
    <b:SourceType>Book</b:SourceType>
    <b:Guid>{CC70350F-6876-4D43-A4B7-041E9E9EDC2A}</b:Guid>
    <b:Author>
      <b:Author>
        <b:NameList>
          <b:Person>
            <b:Last>Ongallo</b:Last>
            <b:First>D.</b:First>
            <b:Middle>Gallego &amp; C.</b:Middle>
          </b:Person>
        </b:NameList>
      </b:Author>
    </b:Author>
    <b:Title>Conocimiento y Gestion</b:Title>
    <b:Year>2003</b:Year>
    <b:City>Madrid</b:City>
    <b:Publisher>Pearson</b:Publisher>
    <b:RefOrder>25</b:RefOrder>
  </b:Source>
  <b:Source>
    <b:Tag>Mac12</b:Tag>
    <b:SourceType>Book</b:SourceType>
    <b:Guid>{CCFEF1A7-D6CC-49AE-BDEE-E07796BC5E1B}</b:Guid>
    <b:Title>Numbers are not enough. Why e-learning anaytics failed to inform an institutional strategic plan</b:Title>
    <b:Year>2012</b:Year>
    <b:Publisher>Educ. Technol. Soc</b:Publisher>
    <b:Author>
      <b:Author>
        <b:NameList>
          <b:Person>
            <b:Last>Macfadyen</b:Last>
            <b:First>L.</b:First>
          </b:Person>
          <b:Person>
            <b:Last>Dawson</b:Last>
            <b:First>S.</b:First>
          </b:Person>
        </b:NameList>
      </b:Author>
    </b:Author>
    <b:RefOrder>1</b:RefOrder>
  </b:Source>
  <b:Source>
    <b:Tag>Rom10</b:Tag>
    <b:SourceType>Book</b:SourceType>
    <b:Guid>{F4F782C3-799F-4345-89AC-970F9C6D92C1}</b:Guid>
    <b:Title>Educational data mining: a review of the state of the art.</b:Title>
    <b:Year>2010</b:Year>
    <b:Publisher>IEEE Trans. Syst. Man Cybem</b:Publisher>
    <b:Author>
      <b:Author>
        <b:NameList>
          <b:Person>
            <b:Last>Romero</b:Last>
            <b:First>C.</b:First>
          </b:Person>
          <b:Person>
            <b:Last>Ventura</b:Last>
            <b:First>S.</b:First>
          </b:Person>
        </b:NameList>
      </b:Author>
    </b:Author>
    <b:RefOrder>2</b:RefOrder>
  </b:Source>
  <b:Source>
    <b:Tag>Gol05</b:Tag>
    <b:SourceType>Book</b:SourceType>
    <b:Guid>{C787D552-1430-4D45-992C-1F7D9A20BF96}</b:Guid>
    <b:Title>Academic Analytics: The uses of Management Information and Technology in Higher Education.</b:Title>
    <b:Year>2005</b:Year>
    <b:Publisher>Educause,Colo</b:Publisher>
    <b:Author>
      <b:Author>
        <b:NameList>
          <b:Person>
            <b:Last>Goldstein</b:Last>
            <b:First>P.J.</b:First>
          </b:Person>
          <b:Person>
            <b:Last>Katz</b:Last>
            <b:First>R. N.</b:First>
          </b:Person>
        </b:NameList>
      </b:Author>
    </b:Author>
    <b:RefOrder>3</b:RefOrder>
  </b:Source>
  <b:Source>
    <b:Tag>Gol051</b:Tag>
    <b:SourceType>Book</b:SourceType>
    <b:Guid>{57F74B71-9908-4386-BE8D-69DF631D99B0}</b:Guid>
    <b:Title>Academic Analytics: The Uses og Management Information an Technology in Higher Education</b:Title>
    <b:Year>2005</b:Year>
    <b:Publisher>EDUCASE</b:Publisher>
    <b:Author>
      <b:Author>
        <b:NameList>
          <b:Person>
            <b:Last>Goldstein</b:Last>
            <b:First>P.</b:First>
          </b:Person>
        </b:NameList>
      </b:Author>
    </b:Author>
    <b:RefOrder>4</b:RefOrder>
  </b:Source>
  <b:Source>
    <b:Tag>Fer121</b:Tag>
    <b:SourceType>DocumentFromInternetSite</b:SourceType>
    <b:Guid>{E9C90857-A13A-4BA4-8392-72278AB8800D}</b:Guid>
    <b:Title>The State Og Learning Analytics in 2012: A Review and Future Challenges. The Open University</b:Title>
    <b:Year>2012</b:Year>
    <b:Author>
      <b:Author>
        <b:NameList>
          <b:Person>
            <b:Last>Fergusson</b:Last>
            <b:First>R.</b:First>
          </b:Person>
        </b:NameList>
      </b:Author>
    </b:Author>
    <b:Month>12</b:Month>
    <b:Day>01</b:Day>
    <b:URL>http://kmi.open.ac.uk/publications/techreport/kmi-12-01</b:URL>
    <b:RefOrder>5</b:RefOrder>
  </b:Source>
  <b:Source>
    <b:Tag>Agu142</b:Tag>
    <b:SourceType>JournalArticle</b:SourceType>
    <b:Guid>{51F6D31A-DC7E-4DE6-8870-81977E3954B1}</b:Guid>
    <b:Title>Can we predict sucess from log data in VLES? Classification of interactions for learning analytics and their relation with performance in VLE-SUPPORTED F2F and online leraning</b:Title>
    <b:Year>2014</b:Year>
    <b:JournalName>Computational Human Behavior</b:JournalName>
    <b:Pages>542-550</b:Pages>
    <b:Author>
      <b:Author>
        <b:NameList>
          <b:Person>
            <b:Last>Agudo-Peregrina</b:Last>
            <b:First>A.</b:First>
          </b:Person>
          <b:Person>
            <b:Last>Iglesias-Pradas</b:Last>
            <b:First>S.</b:First>
          </b:Person>
        </b:NameList>
      </b:Author>
    </b:Author>
    <b:RefOrder>6</b:RefOrder>
  </b:Source>
  <b:Source>
    <b:Tag>Her14</b:Tag>
    <b:SourceType>ConferenceProceedings</b:SourceType>
    <b:Guid>{1192F779-5426-4516-B619-70022E470651}</b:Guid>
    <b:Title>Proceedings of the Second International Conference on Technological Ecosystems for Enhancing Multicultutality</b:Title>
    <b:Year>2014</b:Year>
    <b:Pages>263 - 268</b:Pages>
    <b:ConferenceName>Dealing with complexity: educational data and tools for learning analytics</b:ConferenceName>
    <b:City>New York</b:City>
    <b:Publisher>ACM</b:Publisher>
    <b:Author>
      <b:Author>
        <b:NameList>
          <b:Person>
            <b:Last>Hernandez-García</b:Last>
            <b:First>A.</b:First>
          </b:Person>
          <b:Person>
            <b:Last>Conde</b:Last>
            <b:First>M.</b:First>
          </b:Person>
        </b:NameList>
      </b:Author>
    </b:Author>
    <b:RefOrder>7</b:RefOrder>
  </b:Source>
  <b:Source>
    <b:Tag>Sán12</b:Tag>
    <b:SourceType>ConferenceProceedings</b:SourceType>
    <b:Guid>{3234C774-399B-4103-B862-03047E1C81D8}</b:Guid>
    <b:Title>GLASS: a learning analytics visualization tool</b:Title>
    <b:Year>2012</b:Year>
    <b:ConferenceName>2nd. International Conference on Learning Analytics and Knowledge</b:ConferenceName>
    <b:City>New York</b:City>
    <b:Publisher>ACM</b:Publisher>
    <b:Author>
      <b:Author>
        <b:NameList>
          <b:Person>
            <b:Last>Sánchez-de-Castro</b:Last>
            <b:First>D.</b:First>
          </b:Person>
          <b:Person>
            <b:Last>Delgado-Kloos</b:Last>
            <b:First>C.</b:First>
          </b:Person>
        </b:NameList>
      </b:Author>
    </b:Author>
    <b:RefOrder>8</b:RefOrder>
  </b:Source>
  <b:Source>
    <b:Tag>Ali14</b:Tag>
    <b:SourceType>ConferenceProceedings</b:SourceType>
    <b:Guid>{6D1316BC-7968-4CA2-B088-D8E11A753AE0}</b:Guid>
    <b:Title>Google analytics for time behavior measurement in moodle. Sistemas y tecnologías de la información</b:Title>
    <b:Pages>383 - 391</b:Pages>
    <b:Year>2014</b:Year>
    <b:ConferenceName>9na. Conferencia Ibérica de Sistemas y Tecnologías de la Información</b:ConferenceName>
    <b:City>Barcelona</b:City>
    <b:Publisher>AISTI/LaSalle</b:Publisher>
    <b:Author>
      <b:Author>
        <b:NameList>
          <b:Person>
            <b:Last>Alier</b:Last>
            <b:First>M.</b:First>
          </b:Person>
          <b:Person>
            <b:Last>Casany</b:Last>
            <b:First>J.</b:First>
          </b:Person>
        </b:NameList>
      </b:Author>
    </b:Author>
    <b:RefOrder>9</b:RefOrder>
  </b:Source>
  <b:Source>
    <b:Tag>Dim07</b:Tag>
    <b:SourceType>JournalArticle</b:SourceType>
    <b:Guid>{DB87E87F-20DF-4F86-9ACD-ED0DB8BE7892}</b:Guid>
    <b:Title>CourseVis: a graphical student monitoring tool for supporting instructors in web-based distance courses</b:Title>
    <b:Pages>125 - 139</b:Pages>
    <b:Year>2007</b:Year>
    <b:JournalName>Intercation Human Computer</b:JournalName>
    <b:Author>
      <b:Author>
        <b:NameList>
          <b:Person>
            <b:Last>Dimitrova</b:Last>
            <b:First>V.</b:First>
          </b:Person>
        </b:NameList>
      </b:Author>
    </b:Author>
    <b:RefOrder>10</b:RefOrder>
  </b:Source>
  <b:Source>
    <b:Tag>Das15</b:Tag>
    <b:SourceType>InternetSite</b:SourceType>
    <b:Guid>{7D47C72F-12C3-4FC7-9B25-A3943B2D8971}</b:Guid>
    <b:Title>Dashboard block</b:Title>
    <b:Year>2015</b:Year>
    <b:Month>February</b:Month>
    <b:Day>20</b:Day>
    <b:URL>https://docs.moodle.org/27/en/Dashboard_Block</b:URL>
    <b:Author>
      <b:Author>
        <b:NameList>
          <b:Person>
            <b:Last>Dashboard block</b:Last>
          </b:Person>
        </b:NameList>
      </b:Author>
    </b:Author>
    <b:RefOrder>11</b:RefOrder>
  </b:Source>
  <b:Source>
    <b:Tag>Gar13</b:Tag>
    <b:SourceType>ConferenceProceedings</b:SourceType>
    <b:Guid>{A422920F-C04E-4D32-97F6-E3C7BD13FE5C}</b:Guid>
    <b:Title>Indicadores para el seguimiento y evaluación de la competencia de trabajo en equipo a través del Método CTMC</b:Title>
    <b:Year>2013</b:Year>
    <b:ConferenceName>Congreso Internacional sobre Aprendizaje, Innovación y Competitividad CINAIC 2013</b:ConferenceName>
    <b:City>Madrid</b:City>
    <b:Publisher>Fundación General de la Universidad Politécnica de Madird</b:Publisher>
    <b:Author>
      <b:Author>
        <b:NameList>
          <b:Person>
            <b:Last>García</b:Last>
            <b:First>J.</b:First>
          </b:Person>
          <b:Person>
            <b:Last>Sein</b:Last>
            <b:First>M.</b:First>
          </b:Person>
        </b:NameList>
      </b:Author>
    </b:Author>
    <b:RefOrder>12</b:RefOrder>
  </b:Source>
  <b:Source>
    <b:Tag>Fid14</b:Tag>
    <b:SourceType>JournalArticle</b:SourceType>
    <b:Guid>{D8EBD62B-5138-4503-B920-EDBD613A66F6}</b:Guid>
    <b:Title>A comprehensive training model of the teamwork competence</b:Title>
    <b:Pages>1 - 19</b:Pages>
    <b:Year>2014</b:Year>
    <b:Author>
      <b:Author>
        <b:NameList>
          <b:Person>
            <b:Last>Fidalgo</b:Last>
            <b:First>A.</b:First>
          </b:Person>
        </b:NameList>
      </b:Author>
    </b:Author>
    <b:JournalName>Int. J. Learn. Intellect. Capital</b:JournalName>
    <b:RefOrder>13</b:RefOrder>
  </b:Source>
  <b:Source>
    <b:Tag>Poz11</b:Tag>
    <b:SourceType>JournalArticle</b:SourceType>
    <b:Guid>{EE94E712-185A-4FB3-AA6B-55B184128645}</b:Guid>
    <b:Title>E-learning services in Moodle 2.0</b:Title>
    <b:JournalName>CEPIS Upgrade</b:JournalName>
    <b:Year>2011</b:Year>
    <b:Pages>43 - 50</b:Pages>
    <b:Author>
      <b:Author>
        <b:NameList>
          <b:Person>
            <b:Last>Pozo</b:Last>
            <b:First>A.</b:First>
          </b:Person>
        </b:NameList>
      </b:Author>
    </b:Author>
    <b:RefOrder>14</b:RefOrder>
  </b:Source>
  <b:Source>
    <b:Tag>Con20</b:Tag>
    <b:SourceType>JournalArticle</b:SourceType>
    <b:Guid>{9F1F7D79-28F0-485F-A99D-498887F34E91}</b:Guid>
    <b:Title>Using learning analytics to improve teamwork assesment</b:Title>
    <b:JournalName>Computers in Human Behavior</b:JournalName>
    <b:Year>2020</b:Year>
    <b:Author>
      <b:Author>
        <b:NameList>
          <b:Person>
            <b:Last>Conde</b:Last>
            <b:First>A.</b:First>
          </b:Person>
        </b:NameList>
      </b:Author>
    </b:Author>
    <b:RefOrder>15</b:RefOrder>
  </b:Source>
  <b:Source>
    <b:Tag>Hea</b:Tag>
    <b:SourceType>ConferenceProceedings</b:SourceType>
    <b:Guid>{6FF2FE2C-76F2-4FEB-852D-C95C575B6CF3}</b:Guid>
    <b:Title>SNAPP: realising the affordances of realtime SNA within networkwed learning enviroments</b:Title>
    <b:Pages>125 - 134</b:Pages>
    <b:ConferenceName>Seventh International Conference on Networked Learning</b:ConferenceName>
    <b:City>Lancaster</b:City>
    <b:Publisher>University of Lancaster</b:Publisher>
    <b:Author>
      <b:Author>
        <b:NameList>
          <b:Person>
            <b:Last>Heathcote</b:Last>
            <b:First>A.</b:First>
          </b:Person>
        </b:NameList>
      </b:Author>
    </b:Author>
    <b:Year>2021</b:Year>
    <b:RefOrder>16</b:RefOrder>
  </b:Source>
  <b:Source>
    <b:Tag>Eng15</b:Tag>
    <b:SourceType>InternetSite</b:SourceType>
    <b:Guid>{7239B82A-A2EB-4EB7-8D48-559F090A6C17}</b:Guid>
    <b:Year>2015</b:Year>
    <b:Month>February</b:Month>
    <b:Day>21</b:Day>
    <b:URL>https://docs.moodle.org/22/Engagement_Analytics_Plugin</b:URL>
    <b:Author>
      <b:Author>
        <b:NameList>
          <b:Person>
            <b:Last>Engagement Analytics Plugin</b:Last>
          </b:Person>
        </b:NameList>
      </b:Author>
    </b:Author>
    <b:RefOrder>17</b:RefOrder>
  </b:Source>
  <b:Source>
    <b:Tag>Her141</b:Tag>
    <b:SourceType>JournalArticle</b:SourceType>
    <b:Guid>{78167F64-993C-4ECA-B4FA-0B36B29F2792}</b:Guid>
    <b:Title>Usare Gephi per visualizzare la partecipazione nei corsi online: un approccio di social learning analytics</b:Title>
    <b:Year>2014</b:Year>
    <b:Author>
      <b:Author>
        <b:NameList>
          <b:Person>
            <b:Last>Hernandez</b:Last>
            <b:First>A.</b:First>
          </b:Person>
        </b:NameList>
      </b:Author>
    </b:Author>
    <b:JournalName>Tecnologie Didattiche</b:JournalName>
    <b:Pages>148 -156</b:Pages>
    <b:RefOrder>18</b:RefOrder>
  </b:Source>
  <b:Source>
    <b:Tag>Gon20</b:Tag>
    <b:SourceType>Book</b:SourceType>
    <b:Guid>{E2B15EE7-8E59-477F-9A94-9E6C85FD923D}</b:Guid>
    <b:Title>Applying social learing analytics to message boards in online distance learning: a case study</b:Title>
    <b:Year>2020</b:Year>
    <b:Publisher>Computers in Human Behavior (in press)</b:Publisher>
    <b:Author>
      <b:Author>
        <b:NameList>
          <b:Person>
            <b:Last>Gonzalez</b:Last>
            <b:First>I.</b:First>
          </b:Person>
        </b:NameList>
      </b:Author>
    </b:Author>
    <b:RefOrder>19</b:RefOrder>
  </b:Source>
  <b:Source>
    <b:Tag>AHe21</b:Tag>
    <b:SourceType>JournalArticle</b:SourceType>
    <b:Guid>{A7A5D75E-C246-44CE-855E-8869C182E2AF}</b:Guid>
    <b:Author>
      <b:Author>
        <b:NameList>
          <b:Person>
            <b:Last>Ortiz</b:Last>
            <b:First>Hernandez</b:First>
            <b:Middle>y</b:Middle>
          </b:Person>
        </b:NameList>
      </b:Author>
    </b:Author>
    <b:Title>¿Cuál es el input linguistico al que se exponen los aprendices de inglés como lengua extragera?</b:Title>
    <b:JournalName>Colombian Applied linguistics Journal</b:JournalName>
    <b:Year>2021</b:Year>
    <b:Pages>23</b:Pages>
    <b:City>Mexico</b:City>
    <b:URL>http://www.scielo.org.co/scielo.php?script=sci_arttext&amp;pid=S0123-46412021000100078</b:URL>
    <b:RefOrder>1</b:RefOrder>
  </b:Source>
  <b:Source>
    <b:Tag>MMu</b:Tag>
    <b:SourceType>JournalArticle</b:SourceType>
    <b:Guid>{A30236AA-96ED-4286-A065-C41C2787D819}</b:Guid>
    <b:Author>
      <b:Author>
        <b:NameList>
          <b:Person>
            <b:Last>Murillo</b:Last>
          </b:Person>
        </b:NameList>
      </b:Author>
    </b:Author>
    <b:Title>El verbo y la producción discursiva de los niños costarricenses de 2 a 4 años de edad</b:Title>
    <b:JournalName>UNIVERSIDAD DE COSTA RICA</b:JournalName>
    <b:Pages>42 (3)</b:Pages>
    <b:URL>https://revistas.ucr.ac.cr/index.php/kanina/article/view/36810</b:URL>
    <b:Year>2018</b:Year>
    <b:RefOrder>2</b:RefOrder>
  </b:Source>
  <b:Source>
    <b:Tag>Mor22</b:Tag>
    <b:SourceType>JournalArticle</b:SourceType>
    <b:Guid>{A99D8839-39CE-4F72-9831-924545E576DE}</b:Guid>
    <b:Author>
      <b:Author>
        <b:NameList>
          <b:Person>
            <b:Last>Moreira Ortiz</b:Last>
            <b:First>W.</b:First>
            <b:Middle>W., Y Castro Bermúdez,</b:Middle>
          </b:Person>
        </b:NameList>
      </b:Author>
    </b:Author>
    <b:Title>Las imágenes como recurso visual para potenciar la comprensión lectora en los niños de 4-5 años.</b:Title>
    <b:JournalName>EDUCARE -UPEL-IPB</b:JournalName>
    <b:Year>2022</b:Year>
    <b:Pages>22</b:Pages>
    <b:Volume>26</b:Volume>
    <b:Issue>3</b:Issue>
    <b:DOI>https://doi.org/10.46498/reduipb.v26iExtraordinario.1705</b:DOI>
    <b:City>VENEZUELA</b:City>
    <b:Month>MAYO</b:Month>
    <b:URL>https://revistas.investigacion-upelipb.com/index.php/educare/article/view/1705/1614</b:URL>
    <b:RefOrder>3</b:RefOrder>
  </b:Source>
  <b:Source>
    <b:Tag>Ber10</b:Tag>
    <b:SourceType>Book</b:SourceType>
    <b:Guid>{1A20B958-D629-431C-A89A-F6F50F55FD56}</b:Guid>
    <b:Author>
      <b:Author>
        <b:NameList>
          <b:Person>
            <b:Last>Bernal</b:Last>
            <b:First>C</b:First>
          </b:Person>
        </b:NameList>
      </b:Author>
    </b:Author>
    <b:Title>Metodologia de la investigación, administración, economia, humanidades y  ciencias sociales</b:Title>
    <b:JournalName>Pautas para la redaccion de manuscritos segun el manual APA</b:JournalName>
    <b:Year>2010</b:Year>
    <b:Pages>322</b:Pages>
    <b:Volume>3era edicion</b:Volume>
    <b:URL>https://abacoenred.com/wp-content/uploads/2019/02/El-proyecto-de-investigaci%C3%B3n-F.G.-Arias-2012-pdf.pdf</b:URL>
    <b:RefOrder>4</b:RefOrder>
  </b:Source>
  <b:Source>
    <b:Tag>DRE12</b:Tag>
    <b:SourceType>JournalArticle</b:SourceType>
    <b:Guid>{DDD7FE90-E08C-4BCA-9865-179697A8D933}</b:Guid>
    <b:Author>
      <b:Author>
        <b:NameList>
          <b:Person>
            <b:Last>REIS</b:Last>
          </b:Person>
        </b:NameList>
      </b:Author>
    </b:Author>
    <b:Title>Poesia para niños: ¿Porque? ¡¿Qué ? y ¿Cómo?</b:Title>
    <b:JournalName>Instituto cervantes de Brasilia</b:JournalName>
    <b:Year>2012</b:Year>
    <b:URL>https://cvc.cervantes.es/ensenanza/biblioteca_ele/publicaciones_centros/PDF/brasilia_2012/26_reis.pdf</b:URL>
    <b:RefOrder>5</b:RefOrder>
  </b:Source>
  <b:Source>
    <b:Tag>OCD98</b:Tag>
    <b:SourceType>Book</b:SourceType>
    <b:Guid>{4931982D-F234-4C6E-AD18-E5D1104D87F9}</b:Guid>
    <b:Author>
      <b:Author>
        <b:Corporate>OCDE</b:Corporate>
      </b:Author>
    </b:Author>
    <b:Title>Education at a glance: OECD indicators 1998</b:Title>
    <b:Year>1998</b:Year>
    <b:City>Washington DC</b:City>
    <b:Publisher>OCDE</b:Publisher>
    <b:JournalName>OECD</b:JournalName>
    <b:Pages>S.f</b:Pages>
    <b:RefOrder>2</b:RefOrder>
  </b:Source>
  <b:Source>
    <b:Tag>Más18</b:Tag>
    <b:SourceType>JournalArticle</b:SourceType>
    <b:Guid>{7A4EC11D-47BE-47C1-8BAF-94867EF6D081}</b:Guid>
    <b:Title>Control de los costos por procesos en el taller de válvulas de la Unidad Empresarial de Base Gases Camagüey, perteneciente a la Empresa Nacional de Gases Industriales</b:Title>
    <b:Year>2018</b:Year>
    <b:City>Cuba</b:City>
    <b:JournalName>Artículo Original</b:JournalName>
    <b:Author>
      <b:Author>
        <b:NameList>
          <b:Person>
            <b:Last>Más</b:Last>
            <b:First>C.</b:First>
          </b:Person>
          <b:Person>
            <b:Last>Fuentes</b:Last>
            <b:First>Y.</b:First>
          </b:Person>
        </b:NameList>
      </b:Author>
    </b:Author>
    <b:RefOrder>3</b:RefOrder>
  </b:Source>
  <b:Source>
    <b:Tag>Cha16</b:Tag>
    <b:SourceType>JournalArticle</b:SourceType>
    <b:Guid>{AA249092-D1D0-4662-9747-F9CC9F76320B}</b:Guid>
    <b:Title>Costeo por operaciones: Aplicación para la determinación de precios justos en la industria del plástico</b:Title>
    <b:JournalName>Red de Revistas Científicas de América Latina, el Caribe, España y Portugal</b:JournalName>
    <b:Year>2016</b:Year>
    <b:Pages>5-39</b:Pages>
    <b:Author>
      <b:Author>
        <b:NameList>
          <b:Person>
            <b:Last>Chacón</b:Last>
            <b:First>P.</b:First>
          </b:Person>
          <b:Person>
            <b:Last>Galia</b:Last>
            <b:First>B.</b:First>
          </b:Person>
        </b:NameList>
      </b:Author>
    </b:Author>
    <b:City>Universidad de los Andes Venezuela</b:City>
    <b:Volume>19</b:Volume>
    <b:Issue>32</b:Issue>
    <b:RefOrder>4</b:RefOrder>
  </b:Source>
  <b:Source>
    <b:Tag>Sán13</b:Tag>
    <b:SourceType>JournalArticle</b:SourceType>
    <b:Guid>{7BFA52A4-730E-4274-AE06-C167E7C8805E}</b:Guid>
    <b:Title>Implicancias del método de costeo ABC</b:Title>
    <b:JournalName>Quipukamayoc Revista de la Facultad de Ciencias Contables</b:JournalName>
    <b:Year>2013</b:Year>
    <b:Pages>65-73</b:Pages>
    <b:Author>
      <b:Author>
        <b:NameList>
          <b:Person>
            <b:Last>Sánchez</b:Last>
            <b:First>B.</b:First>
          </b:Person>
        </b:NameList>
      </b:Author>
    </b:Author>
    <b:City>UNMSM, Lima - Perú</b:City>
    <b:Volume>21</b:Volume>
    <b:Issue>39</b:Issue>
    <b:RefOrder>5</b:RefOrder>
  </b:Source>
  <b:Source>
    <b:Tag>Lam</b:Tag>
    <b:SourceType>JournalArticle</b:SourceType>
    <b:Guid>{584C07DE-BD55-481A-B614-147639C43B07}</b:Guid>
    <b:Title>La importancia del análisis y la estimación de costos</b:Title>
    <b:JournalName>Universidad de Esan</b:JournalName>
    <b:Author>
      <b:Author>
        <b:NameList>
          <b:Person>
            <b:Last>Lambretón</b:Last>
            <b:First>V.</b:First>
          </b:Person>
        </b:NameList>
      </b:Author>
    </b:Author>
    <b:Year>2015</b:Year>
    <b:RefOrder>6</b:RefOrder>
  </b:Source>
  <b:Source>
    <b:Tag>Ará16</b:Tag>
    <b:SourceType>Book</b:SourceType>
    <b:Guid>{28E4B006-F742-484C-A8FE-6526C853BE26}</b:Guid>
    <b:Title>Propuesta de diseño y aplicación de un sistema de costos por proceso</b:Title>
    <b:Year>2016</b:Year>
    <b:City>Ecuador</b:City>
    <b:Author>
      <b:Author>
        <b:NameList>
          <b:Person>
            <b:Last>Arámbulo</b:Last>
            <b:Middle>Sofia</b:Middle>
            <b:First>Ana</b:First>
          </b:Person>
          <b:Person>
            <b:Last>Mite</b:Last>
            <b:Middle>Luis</b:Middle>
            <b:First>José</b:First>
          </b:Person>
        </b:NameList>
      </b:Author>
    </b:Author>
    <b:RefOrder>7</b:RefOrder>
  </b:Source>
  <b:Source>
    <b:Tag>Lóp11</b:Tag>
    <b:SourceType>JournalArticle</b:SourceType>
    <b:Guid>{4D9BC048-6FF1-417F-82ED-078A12416ED4}</b:Guid>
    <b:Title>Sistema de costos ABC en la mediana empresa industrial Mexicana</b:Title>
    <b:Year>2011</b:Year>
    <b:City>Bogotá</b:City>
    <b:JournalName>Cuad. Contab.</b:JournalName>
    <b:Pages>23-43</b:Pages>
    <b:Author>
      <b:Author>
        <b:NameList>
          <b:Person>
            <b:Last>López</b:Last>
            <b:First>M.</b:First>
          </b:Person>
          <b:Person>
            <b:Last>Gómez</b:Last>
            <b:First>A.</b:First>
          </b:Person>
          <b:Person>
            <b:Last>Marín</b:Last>
            <b:First>S.</b:First>
          </b:Person>
        </b:NameList>
      </b:Author>
    </b:Author>
    <b:Volume>12</b:Volume>
    <b:Issue>30</b:Issue>
    <b:RefOrder>8</b:RefOrder>
  </b:Source>
  <b:Source>
    <b:Tag>Are18</b:Tag>
    <b:SourceType>Book</b:SourceType>
    <b:Guid>{2459488F-0A0E-403E-96F8-8502114F8D53}</b:Guid>
    <b:Title>Implementación de costos ABC y su incidencia en la rentabilidad en una empresa Industrial, Lima, 201</b:Title>
    <b:Year>2018</b:Year>
    <b:Author>
      <b:Author>
        <b:NameList>
          <b:Person>
            <b:Last>Arellano</b:Last>
            <b:First>L.</b:First>
          </b:Person>
        </b:NameList>
      </b:Author>
    </b:Author>
    <b:City>Lima</b:City>
    <b:RefOrder>9</b:RefOrder>
  </b:Source>
  <b:Source>
    <b:Tag>Tar16</b:Tag>
    <b:SourceType>Book</b:SourceType>
    <b:Guid>{11A51433-A0EC-408C-A2F5-022A77DEC62A}</b:Guid>
    <b:Title>Determinación del costo de producción y rentabilidad de puertas especiales combinadas de fierro y madera en las industrias de metal mecánica en la ciudad de Yunguyo.</b:Title>
    <b:Year>2016</b:Year>
    <b:City>Puno</b:City>
    <b:Author>
      <b:Author>
        <b:NameList>
          <b:Person>
            <b:Last>Tarqui</b:Last>
            <b:Middle>Raúl</b:Middle>
            <b:First>Walther</b:First>
          </b:Person>
        </b:NameList>
      </b:Author>
    </b:Author>
    <b:RefOrder>10</b:RefOrder>
  </b:Source>
  <b:Source>
    <b:Tag>Hor12</b:Tag>
    <b:SourceType>Book</b:SourceType>
    <b:Guid>{21D28B5F-7523-4B5E-B6BC-56508117BD87}</b:Guid>
    <b:Title>Contabilidad de costos. Un enfoque gerencial</b:Title>
    <b:Year>2012</b:Year>
    <b:City>México</b:City>
    <b:Publisher>Cámara Nacional de la Industria Editorial Mexicana.</b:Publisher>
    <b:Author>
      <b:Author>
        <b:NameList>
          <b:Person>
            <b:Last>Horngren</b:Last>
            <b:First>C.</b:First>
          </b:Person>
          <b:Person>
            <b:Last>Datar</b:Last>
            <b:First>S.</b:First>
          </b:Person>
          <b:Person>
            <b:Last>Rajan </b:Last>
            <b:First>M.</b:First>
          </b:Person>
        </b:NameList>
      </b:Author>
    </b:Author>
    <b:RefOrder>11</b:RefOrder>
  </b:Source>
  <b:Source>
    <b:Tag>Var09</b:Tag>
    <b:SourceType>Book</b:SourceType>
    <b:Guid>{645A1296-5ABB-4127-B2D2-A083CD4F4E15}</b:Guid>
    <b:Title>Contabilidad de costos, Programa Tecnología en las gestión Pública contable</b:Title>
    <b:Year> 2009</b:Year>
    <b:City>Bogotá</b:City>
    <b:Author>
      <b:Author>
        <b:NameList>
          <b:Person>
            <b:Last>Vargas</b:Last>
            <b:First>R.</b:First>
          </b:Person>
        </b:NameList>
      </b:Author>
    </b:Author>
    <b:RefOrder>12</b:RefOrder>
  </b:Source>
  <b:Source>
    <b:Tag>Rob12</b:Tag>
    <b:SourceType>Book</b:SourceType>
    <b:Guid>{32702B3D-E3C9-42F1-BFE7-17ADCB5A8554}</b:Guid>
    <b:Title>Costos Históricos</b:Title>
    <b:Year>2012</b:Year>
    <b:City>México</b:City>
    <b:Publisher>Eduardo Durán Valdivieso </b:Publisher>
    <b:Author>
      <b:Author>
        <b:NameList>
          <b:Person>
            <b:Last>Robles</b:Last>
            <b:First>C.</b:First>
          </b:Person>
        </b:NameList>
      </b:Author>
    </b:Author>
    <b:RefOrder>13</b:RefOrder>
  </b:Source>
  <b:Source>
    <b:Tag>Flo141</b:Tag>
    <b:SourceType>Book</b:SourceType>
    <b:Guid>{9E04CB38-7343-41F0-A395-CFB5A1D29948}</b:Guid>
    <b:Title>Costos y presupuestos</b:Title>
    <b:Year>2014</b:Year>
    <b:Author>
      <b:Author>
        <b:NameList>
          <b:Person>
            <b:Last>Flores</b:Last>
            <b:First>Jaime</b:First>
          </b:Person>
        </b:NameList>
      </b:Author>
    </b:Author>
    <b:City>Lima</b:City>
    <b:Publisher>Centro de especialización en contabilidad y finanzas E.I.R.L.</b:Publisher>
    <b:RefOrder>14</b:RefOrder>
  </b:Source>
  <b:Source>
    <b:Tag>MarcadorDePosición1</b:Tag>
    <b:SourceType>Book</b:SourceType>
    <b:Guid>{99ACAB3E-0A68-419B-A4A6-FD16BE185E98}</b:Guid>
    <b:Title>Fundamentos y Técnicas de costos</b:Title>
    <b:Year>2010</b:Year>
    <b:City>Colombia</b:City>
    <b:Publisher>Universidad Libre, Sede Cartagena</b:Publisher>
    <b:Author>
      <b:Author>
        <b:NameList>
          <b:Person>
            <b:Last>Ramirez</b:Last>
            <b:First>C.</b:First>
          </b:Person>
          <b:Person>
            <b:Last>García</b:Last>
            <b:First>M.</b:First>
          </b:Person>
          <b:Person>
            <b:Last>Pantoja</b:Last>
            <b:First>C.</b:First>
          </b:Person>
        </b:NameList>
      </b:Author>
    </b:Author>
    <b:RefOrder>15</b:RefOrder>
  </b:Source>
  <b:Source>
    <b:Tag>Aba15</b:Tag>
    <b:SourceType>Book</b:SourceType>
    <b:Guid>{133BC794-DC57-4D87-BF3A-D08C69A35CDD}</b:Guid>
    <b:Title>Norma Internacional de Contabilidad </b:Title>
    <b:Year>2015</b:Year>
    <b:City>Lima</b:City>
    <b:Author>
      <b:Author>
        <b:NameList>
          <b:Person>
            <b:Last>Abanto</b:Last>
            <b:First>Martha</b:First>
          </b:Person>
        </b:NameList>
      </b:Author>
    </b:Author>
    <b:RefOrder>16</b:RefOrder>
  </b:Source>
  <b:Source>
    <b:Tag>Pol971</b:Tag>
    <b:SourceType>Book</b:SourceType>
    <b:Guid>{447D0FC3-81AE-4B0E-ADA4-1B8182BFE4F9}</b:Guid>
    <b:Title>Contabilidad de costo</b:Title>
    <b:Year>1997</b:Year>
    <b:City>Colombia</b:City>
    <b:Publisher>Martha Edna Suárez R.</b:Publisher>
    <b:Author>
      <b:Author>
        <b:NameList>
          <b:Person>
            <b:Last>Polimeni</b:Last>
            <b:First>Ralph</b:First>
          </b:Person>
          <b:Person>
            <b:Last>Fabozzi</b:Last>
            <b:First>Frank</b:First>
          </b:Person>
          <b:Person>
            <b:Last>Adelberg</b:Last>
            <b:First>Arthur</b:First>
          </b:Person>
          <b:Person>
            <b:Last>Kole</b:Last>
            <b:First>Michael</b:First>
          </b:Person>
        </b:NameList>
      </b:Author>
    </b:Author>
    <b:URL>http://fullseguridad.net/wp-content/uploads/2017/01/Contabilidad-de-costos-3ra-Edici%C3%B3n-Ralph-S.-Polimeni.pdf</b:URL>
    <b:RefOrder>17</b:RefOrder>
  </b:Source>
  <b:Source>
    <b:Tag>Her</b:Tag>
    <b:SourceType>Book</b:SourceType>
    <b:Guid>{4D77F82B-D766-40B7-8765-F420962537FE}</b:Guid>
    <b:Title>Metodología de la Investigación. Las Rutas Cuantitativa, Cualitativa y Mixta</b:Title>
    <b:Author>
      <b:Author>
        <b:NameList>
          <b:Person>
            <b:Last>Hernández</b:Last>
            <b:First>R.</b:First>
          </b:Person>
          <b:Person>
            <b:Last>Mendoza</b:Last>
            <b:First>C.</b:First>
          </b:Person>
        </b:NameList>
      </b:Author>
    </b:Author>
    <b:Year>2018</b:Year>
    <b:City>México</b:City>
    <b:RefOrder>18</b:RefOrder>
  </b:Source>
  <b:Source>
    <b:Tag>Hur04</b:Tag>
    <b:SourceType>Book</b:SourceType>
    <b:Guid>{5F354665-0490-488E-B59B-C59040D5B999}</b:Guid>
    <b:Title>Como formular objetivo de investigación </b:Title>
    <b:Year>2004</b:Year>
    <b:City>Bogotá</b:City>
    <b:Publisher>Cooperativo editorial Magisterio</b:Publisher>
    <b:Author>
      <b:Author>
        <b:NameList>
          <b:Person>
            <b:Last>Hurtado</b:Last>
            <b:First>J.</b:First>
          </b:Person>
        </b:NameList>
      </b:Author>
    </b:Author>
    <b:RefOrder>19</b:RefOrder>
  </b:Source>
  <b:Source>
    <b:Tag>Car19</b:Tag>
    <b:SourceType>Book</b:SourceType>
    <b:Guid>{E7DE5B3C-27BE-4C17-81B3-CF6A81952816}</b:Guid>
    <b:Title>Metodología para la investigación holística</b:Title>
    <b:Year>2019</b:Year>
    <b:City>Ecuador</b:City>
    <b:Author>
      <b:Author>
        <b:NameList>
          <b:Person>
            <b:Last>Carhuancho</b:Last>
            <b:First>I.</b:First>
          </b:Person>
          <b:Person>
            <b:Last>Nolazco</b:Last>
            <b:First>F.</b:First>
          </b:Person>
          <b:Person>
            <b:Last>Sicheri</b:Last>
            <b:First>L.</b:First>
          </b:Person>
          <b:Person>
            <b:Last>Guerrero</b:Last>
            <b:First>M.</b:First>
          </b:Person>
          <b:Person>
            <b:Last>Casana</b:Last>
            <b:First>K.</b:First>
          </b:Person>
        </b:NameList>
      </b:Author>
    </b:Author>
    <b:Publisher>universidad internacional Guayaquil</b:Publisher>
    <b:RefOrder>20</b:RefOrder>
  </b:Source>
  <b:Source>
    <b:Tag>Cid15</b:Tag>
    <b:SourceType>Book</b:SourceType>
    <b:Guid>{D8C179F8-5D25-4ADA-BEBA-FC5113BE563B}</b:Guid>
    <b:Title>Investigación Fundamentos y metodología</b:Title>
    <b:Year>2015</b:Year>
    <b:City>Lima</b:City>
    <b:Publisher>Pearson educación del Perú S.A.</b:Publisher>
    <b:Author>
      <b:Author>
        <b:NameList>
          <b:Person>
            <b:Last>Cid</b:Last>
            <b:First>A.</b:First>
          </b:Person>
          <b:Person>
            <b:Last>Méndez</b:Last>
            <b:First>R.</b:First>
          </b:Person>
          <b:Person>
            <b:Last>Sandoval</b:Last>
            <b:First>F.</b:First>
          </b:Person>
        </b:NameList>
      </b:Author>
    </b:Author>
    <b:RefOrder>21</b:RefOrder>
  </b:Source>
  <b:Source>
    <b:Tag>Góm12</b:Tag>
    <b:SourceType>Book</b:SourceType>
    <b:Guid>{0B334F3C-3101-4531-99A5-FEE09AC024ED}</b:Guid>
    <b:Title>Metología de investigación</b:Title>
    <b:Year>2012</b:Year>
    <b:City>México</b:City>
    <b:Publisher>Ma. Eugenia Buendía López</b:Publisher>
    <b:Author>
      <b:Author>
        <b:NameList>
          <b:Person>
            <b:Last>Gómez</b:Last>
            <b:First>Sergio</b:First>
          </b:Person>
        </b:NameList>
      </b:Author>
    </b:Author>
    <b:URL>http://www.aliat.org.mx/BibliotecasDigitales/Axiologicas/Metodologia_de_la_investigacion.pdf</b:URL>
    <b:RefOrder>22</b:RefOrder>
  </b:Source>
  <b:Source>
    <b:Tag>MarcadorDePosición2</b:Tag>
    <b:SourceType>JournalArticle</b:SourceType>
    <b:Guid>{6ACD3B98-DEF7-4C6B-8C34-D5744E56A36A}</b:Guid>
    <b:Title>Sobre el análisis de la gestión presupuestaria con enfoque de riesgos</b:Title>
    <b:JournalName>Scielo</b:JournalName>
    <b:Year>2019</b:Year>
    <b:Pages>23-44</b:Pages>
    <b:Author>
      <b:Author>
        <b:NameList>
          <b:Person>
            <b:Last>Rodríguez</b:Last>
            <b:First>H.</b:First>
          </b:Person>
          <b:Person>
            <b:Last>Fernandez</b:Last>
            <b:First>A.</b:First>
          </b:Person>
          <b:Person>
            <b:Last>De Dios</b:Last>
            <b:First>A.</b:First>
          </b:Person>
        </b:NameList>
      </b:Author>
    </b:Author>
    <b:Volume>9</b:Volume>
    <b:Issue>1</b:Issue>
    <b:Month>Mayo</b:Month>
    <b:RefOrder>23</b:RefOrder>
  </b:Source>
  <b:Source>
    <b:Tag>San</b:Tag>
    <b:SourceType>JournalArticle</b:SourceType>
    <b:Guid>{AB36371A-96DD-4061-82C0-4034D08569B7}</b:Guid>
    <b:Title>Las Técnicas Presupuestarias Tradicionales y su Modernización: Hacia una gestión por resultados y metas</b:Title>
    <b:JournalName>ResearchGate</b:JournalName>
    <b:Author>
      <b:Author>
        <b:NameList>
          <b:Person>
            <b:Last>Sanz</b:Last>
            <b:First>A.</b:First>
          </b:Person>
        </b:NameList>
      </b:Author>
    </b:Author>
    <b:Year>2016</b:Year>
    <b:Month>Enero</b:Month>
    <b:Volume>4</b:Volume>
    <b:RefOrder>24</b:RefOrder>
  </b:Source>
  <b:Source>
    <b:Tag>Fra18</b:Tag>
    <b:SourceType>JournalArticle</b:SourceType>
    <b:Guid>{F67D61B2-96CB-4EC5-8C89-808B36643F68}</b:Guid>
    <b:Title>Planeacion presupuestaria y su incidencia en la toma de desiciones finacieras.</b:Title>
    <b:JournalName>Observatorio de la Economía</b:JournalName>
    <b:Year>2018</b:Year>
    <b:Pages>1-10</b:Pages>
    <b:Author>
      <b:Author>
        <b:NameList>
          <b:Person>
            <b:Last>Fray</b:Last>
            <b:First>P.</b:First>
          </b:Person>
          <b:Person>
            <b:Last>Lara</b:Last>
            <b:First>B.</b:First>
          </b:Person>
        </b:NameList>
      </b:Author>
    </b:Author>
    <b:URL>http://www.eumed.net/2/rev/oel/2018/02/decisiones-financieras.html</b:URL>
    <b:RefOrder>25</b:RefOrder>
  </b:Source>
  <b:Source>
    <b:Tag>Min19</b:Tag>
    <b:SourceType>InternetSite</b:SourceType>
    <b:Guid>{0DF54ABA-0441-4076-A85E-810F0815A023}</b:Guid>
    <b:Title>Proyecto de Ley de Presupuesto del Sector Público prioriza la continuidad de políticas públicas para el año 2020</b:Title>
    <b:Year>2019</b:Year>
    <b:Month>Agosto</b:Month>
    <b:Day>29</b:Day>
    <b:URL>https://www.mef.gob.pe/es/correo-institucional</b:URL>
    <b:Author>
      <b:Author>
        <b:NameList>
          <b:Person>
            <b:Last>Ministerio</b:Last>
            <b:First>EF.</b:First>
          </b:Person>
        </b:NameList>
      </b:Author>
    </b:Author>
    <b:RefOrder>26</b:RefOrder>
  </b:Source>
  <b:Source>
    <b:Tag>MarcadorDePosición3</b:Tag>
    <b:SourceType>JournalArticle</b:SourceType>
    <b:Guid>{A679C510-82E0-472E-BA6E-BD2B0AAAC40C}</b:Guid>
    <b:Title>Gestión Presupuestaria como factor determinante de la Rentabilidad en empresas hoteleras del Perú (2012 – 2016)</b:Title>
    <b:Year>2018</b:Year>
    <b:Month>Agosto</b:Month>
    <b:Day>19</b:Day>
    <b:JournalName>Quipukamayoc - Revistas UNMSM</b:JournalName>
    <b:Pages>63-72</b:Pages>
    <b:Volume>26</b:Volume>
    <b:Issue>51</b:Issue>
    <b:Author>
      <b:Author>
        <b:NameList>
          <b:Person>
            <b:Last>Pérez</b:Last>
            <b:First>M.</b:First>
          </b:Person>
        </b:NameList>
      </b:Author>
    </b:Author>
    <b:RefOrder>27</b:RefOrder>
  </b:Source>
  <b:Source>
    <b:Tag>mun17</b:Tag>
    <b:SourceType>DocumentFromInternetSite</b:SourceType>
    <b:Guid>{F49DEC86-508A-46E1-835A-E23092CFAA57}</b:Guid>
    <b:Title>Revision de Gastos Públicos</b:Title>
    <b:Year>2017</b:Year>
    <b:Pages>1-239</b:Pages>
    <b:Publisher>Public Disclosure Authorized</b:Publisher>
    <b:Month>Junio</b:Month>
    <b:Day>16</b:Day>
    <b:URL>http://documentos.bancomundial.org/curated/es/554021521229272108/pdf/Peru-Revision-del-Gasto-Publico-2018-final.pdf</b:URL>
    <b:LCID>es-PE</b:LCID>
    <b:Author>
      <b:Author>
        <b:NameList>
          <b:Person>
            <b:Last>Mundial</b:Last>
            <b:First>Banco</b:First>
          </b:Person>
        </b:NameList>
      </b:Author>
      <b:Editor>
        <b:NameList>
          <b:Person>
            <b:Last>Authorized</b:Last>
            <b:First>Public</b:First>
            <b:Middle>Disclosure</b:Middle>
          </b:Person>
        </b:NameList>
      </b:Editor>
    </b:Author>
    <b:RefOrder>28</b:RefOrder>
  </b:Source>
  <b:Source xmlns:b="http://schemas.openxmlformats.org/officeDocument/2006/bibliography">
    <b:Tag>Con19</b:Tag>
    <b:SourceType>Book</b:SourceType>
    <b:Guid>{5D4B221B-33A5-4C8C-BE7A-F45D0A8CC366}</b:Guid>
    <b:Title>Control y Evaluación Presupuestaria como herramienta de mejora de Gestión Institucional en la Universidad de Investigación de Tecnología Experimental Yachay</b:Title>
    <b:Year>2019</b:Year>
    <b:City>Ecuador</b:City>
    <b:Publisher>Instituto de Altos Estudios Nacionales Universidad de Postgrado del Estado</b:Publisher>
    <b:Author>
      <b:Author>
        <b:NameList>
          <b:Person>
            <b:Last>Almeida</b:Last>
            <b:First>T.</b:First>
          </b:Person>
        </b:NameList>
      </b:Author>
    </b:Author>
    <b:RefOrder>29</b:RefOrder>
  </b:Source>
  <b:Source>
    <b:Tag>Par17</b:Tag>
    <b:SourceType>JournalArticle</b:SourceType>
    <b:Guid>{60AEC9D0-2BC4-4683-B975-16C0DA0C1100}</b:Guid>
    <b:Title>Presupuesto como Instrumento de Control Financiero en Pequeñas Empresas de Estructura Familiar</b:Title>
    <b:Year>2017</b:Year>
    <b:JournalName>Revista Científica Electrónica de Ciencias Gerenciales / Scientific e-journal of Management Science</b:JournalName>
    <b:Pages>33-48</b:Pages>
    <b:Author>
      <b:Author>
        <b:NameList>
          <b:Person>
            <b:Last>Parra</b:Last>
            <b:First>J.</b:First>
          </b:Person>
          <b:Person>
            <b:Last>La Madrid</b:Last>
            <b:First>J.</b:First>
          </b:Person>
        </b:NameList>
      </b:Author>
    </b:Author>
    <b:Month>noviembre</b:Month>
    <b:Volume>13</b:Volume>
    <b:Issue>38</b:Issue>
    <b:URL>http://www.redalyc.org/articulo.oa?id=78253678003</b:URL>
    <b:DOI>E-ISSN: 1856-1810</b:DOI>
    <b:RefOrder>30</b:RefOrder>
  </b:Source>
  <b:Source>
    <b:Tag>Riv15</b:Tag>
    <b:SourceType>Book</b:SourceType>
    <b:Guid>{FA329A2B-BF20-48F8-973F-6F1E4158B56F}</b:Guid>
    <b:Title>El presupuesto y la Gestión Financiera en la Institución Educativa N° 6065 “Perú Inglaterra” del Distrito de Villa El Salvador</b:Title>
    <b:Year>2015</b:Year>
    <b:City>Lima</b:City>
    <b:Publisher>Universidad Nacional de Educación "Enrique Gusmán y Valle"</b:Publisher>
    <b:Author>
      <b:Author>
        <b:NameList>
          <b:Person>
            <b:Last>Rivas</b:Last>
            <b:First>E.</b:First>
          </b:Person>
        </b:NameList>
      </b:Author>
    </b:Author>
    <b:RefOrder>31</b:RefOrder>
  </b:Source>
  <b:Source>
    <b:Tag>Che18</b:Tag>
    <b:SourceType>Book</b:SourceType>
    <b:Guid>{BD6AAB51-59DF-40A1-B539-C7C96D4EFE7B}</b:Guid>
    <b:Title>Influencia del Presupuesto por Resultados en la Gestión Financiera Presupuestal de la Unidad Ejecutora 303 Educación Ferreñafe</b:Title>
    <b:Year>2018</b:Year>
    <b:City>Pimentel</b:City>
    <b:Publisher>Universidad Señor de Sipán </b:Publisher>
    <b:Author>
      <b:Author>
        <b:NameList>
          <b:Person>
            <b:Last>Cherres</b:Last>
            <b:First>L.</b:First>
          </b:Person>
        </b:NameList>
      </b:Author>
    </b:Author>
    <b:RefOrder>32</b:RefOrder>
  </b:Source>
  <b:Source>
    <b:Tag>Hur</b:Tag>
    <b:SourceType>Book</b:SourceType>
    <b:Guid>{05C90B55-748B-4800-B7F3-52022101112C}</b:Guid>
    <b:Author>
      <b:Author>
        <b:NameList>
          <b:Person>
            <b:Last>Hurtado</b:Last>
            <b:First>J.</b:First>
          </b:Person>
        </b:NameList>
      </b:Author>
    </b:Author>
    <b:Title>Metología de la Investigacion Holistica</b:Title>
    <b:Year>2000</b:Year>
    <b:City>Caracas</b:City>
    <b:Publisher>Fundación SYPAL</b:Publisher>
    <b:CountryRegion>Venezuela</b:CountryRegion>
    <b:Pages>29 y 463</b:Pages>
    <b:RefOrder>33</b:RefOrder>
  </b:Source>
  <b:Source>
    <b:Tag>Góm06</b:Tag>
    <b:SourceType>Book</b:SourceType>
    <b:Guid>{40706114-2022-4215-A16E-C76B4D842257}</b:Guid>
    <b:Title>Introducción a la Metodología de la investigación científica</b:Title>
    <b:Year>2006</b:Year>
    <b:City>Cordoba</b:City>
    <b:Publisher>Argentina. Brujas</b:Publisher>
    <b:Author>
      <b:Author>
        <b:NameList>
          <b:Person>
            <b:Last>Gómez</b:Last>
            <b:First>M.</b:First>
          </b:Person>
        </b:NameList>
      </b:Author>
    </b:Author>
    <b:URL>https://independent.academia.edu/NelsonGomez7</b:URL>
    <b:Pages>176</b:Pages>
    <b:RefOrder>34</b:RefOrder>
  </b:Source>
  <b:Source>
    <b:Tag>MarcadorDePosición4</b:Tag>
    <b:SourceType>Book</b:SourceType>
    <b:Guid>{A4BA0A36-4160-47DE-B205-28F5D42B16A4}</b:Guid>
    <b:Author>
      <b:Author>
        <b:NameList>
          <b:Person>
            <b:Last>Carhuancho</b:Last>
            <b:First>I.</b:First>
          </b:Person>
          <b:Person>
            <b:Last>Nolazco</b:Last>
            <b:First>F.</b:First>
          </b:Person>
          <b:Person>
            <b:Last>Sicheri</b:Last>
            <b:First>L.</b:First>
          </b:Person>
          <b:Person>
            <b:Last>Guerrero</b:Last>
            <b:First>M.</b:First>
          </b:Person>
          <b:Person>
            <b:Last>Casana</b:Last>
            <b:First>K.</b:First>
          </b:Person>
        </b:NameList>
      </b:Author>
    </b:Author>
    <b:Title>Metodología para la investigación holística</b:Title>
    <b:Year>2019</b:Year>
    <b:City>Guayaquil,Ecuador</b:City>
    <b:Publisher>UIDE</b:Publisher>
    <b:RefOrder>35</b:RefOrder>
  </b:Source>
  <b:Source>
    <b:Tag>Par00</b:Tag>
    <b:SourceType>Book</b:SourceType>
    <b:Guid>{A0263A3E-3992-411B-ACFD-815FB35349B2}</b:Guid>
    <b:Title>Teoría Financiera Moderna fundamentos y métodos</b:Title>
    <b:Year>2000</b:Year>
    <b:City>Santiago</b:City>
    <b:Publisher>ConoSur ltda.</b:Publisher>
    <b:Pages>16-17</b:Pages>
    <b:Author>
      <b:Author>
        <b:NameList>
          <b:Person>
            <b:Last>Parada</b:Last>
            <b:First>R.</b:First>
          </b:Person>
        </b:NameList>
      </b:Author>
    </b:Author>
    <b:CountryRegion>Chile</b:CountryRegion>
    <b:DOI>ISBN:9562382532</b:DOI>
    <b:RefOrder>36</b:RefOrder>
  </b:Source>
  <b:Source>
    <b:Tag>Ast12</b:Tag>
    <b:SourceType>Book</b:SourceType>
    <b:Guid>{DBC2C1A9-7FDD-426E-ADC3-2D56362726DF}</b:Guid>
    <b:Title>Fundamentos de Economía</b:Title>
    <b:Year>2012</b:Year>
    <b:City>México</b:City>
    <b:Publisher>Instituto de Investigaciones Económicas: Probooks</b:Publisher>
    <b:Author>
      <b:Author>
        <b:NameList>
          <b:Person>
            <b:Last>Astudillo</b:Last>
            <b:First>M.</b:First>
          </b:Person>
        </b:NameList>
      </b:Author>
    </b:Author>
    <b:Pages>24</b:Pages>
    <b:Edition>1ra Edicion</b:Edition>
    <b:RefOrder>37</b:RefOrder>
  </b:Source>
  <b:Source>
    <b:Tag>Sam10</b:Tag>
    <b:SourceType>Book</b:SourceType>
    <b:Guid>{9D652749-A2EA-4D64-A690-D5DAA1ACF48A}</b:Guid>
    <b:Title>Economía con aplicaciones a Latinoamérica</b:Title>
    <b:Year>2010</b:Year>
    <b:City>México</b:City>
    <b:Publisher>McGraw-Hill </b:Publisher>
    <b:Author>
      <b:Author>
        <b:NameList>
          <b:Person>
            <b:Last>Samuelson</b:Last>
            <b:First>P.</b:First>
          </b:Person>
          <b:Person>
            <b:Last>Nordhaus</b:Last>
            <b:First>W.</b:First>
          </b:Person>
        </b:NameList>
      </b:Author>
    </b:Author>
    <b:Pages>57</b:Pages>
    <b:Edition>Decimonovena Edición</b:Edition>
    <b:RefOrder>38</b:RefOrder>
  </b:Source>
  <b:Source>
    <b:Tag>Fer14</b:Tag>
    <b:SourceType>JournalArticle</b:SourceType>
    <b:Guid>{CAC06B25-E08E-4A78-9435-F31D02035601}</b:Guid>
    <b:Title>El Planteamiento Costos para Gestión LA</b:Title>
    <b:JournalName>Facultad de Ciencias Económicas</b:JournalName>
    <b:Year>2014</b:Year>
    <b:Pages>5</b:Pages>
    <b:Author>
      <b:Author>
        <b:NameList>
          <b:Person>
            <b:Last>Ferraro</b:Last>
            <b:First>G.</b:First>
          </b:Person>
        </b:NameList>
      </b:Author>
    </b:Author>
    <b:URL>https://apps.econ.unicen.edu.ar/sitios/costos/wp-content/uploads/2015/05/iPRESUP.pdf</b:URL>
    <b:RefOrder>39</b:RefOrder>
  </b:Source>
  <b:Source>
    <b:Tag>Ram08</b:Tag>
    <b:SourceType>Book</b:SourceType>
    <b:Guid>{594AD282-7385-41F4-837C-E5837C4B18FF}</b:Guid>
    <b:Title>Contabilidad Administrativa</b:Title>
    <b:Year>2008</b:Year>
    <b:City>México</b:City>
    <b:Publisher>McGraw-Hill Interamericana</b:Publisher>
    <b:Author>
      <b:Author>
        <b:NameList>
          <b:Person>
            <b:Last>Ramírez</b:Last>
            <b:First>D.</b:First>
          </b:Person>
        </b:NameList>
      </b:Author>
    </b:Author>
    <b:Pages>270</b:Pages>
    <b:Edition>Octava edición</b:Edition>
    <b:URL>www.freelibros.me</b:URL>
    <b:RefOrder>40</b:RefOrder>
  </b:Source>
  <b:Source>
    <b:Tag>Via</b:Tag>
    <b:SourceType>Book</b:SourceType>
    <b:Guid>{EBBFE815-C5D7-4E71-9BB6-561F62755527}</b:Guid>
    <b:Title>Manual de Costos y Presupuestos</b:Title>
    <b:Author>
      <b:Author>
        <b:NameList>
          <b:Person>
            <b:Last>Viaña</b:Last>
            <b:First>L.</b:First>
          </b:Person>
        </b:NameList>
      </b:Author>
    </b:Author>
    <b:Year>2014</b:Year>
    <b:City>Colombia</b:City>
    <b:Publisher>Instituto Tecnológico de Soledad Atlántico</b:Publisher>
    <b:Pages>57</b:Pages>
    <b:URL>http://www.itsa.edu.co/docs/3-L-Viana-Manual-de-Costos-y-Presupuestos.pdf</b:URL>
    <b:RefOrder>41</b:RefOrder>
  </b:Source>
  <b:Source>
    <b:Tag>Col12</b:Tag>
    <b:SourceType>JournalArticle</b:SourceType>
    <b:Guid>{AC849C22-DCDF-4ED9-81A5-AA49E68E3EB3}</b:Guid>
    <b:Title>La Planificación Presupuestaria en Universidades Públicas</b:Title>
    <b:JournalName>Dialnet</b:JournalName>
    <b:Year>2012</b:Year>
    <b:Pages>5</b:Pages>
    <b:City>Venezuela</b:City>
    <b:Author>
      <b:Author>
        <b:NameList>
          <b:Person>
            <b:Last>Colina</b:Last>
            <b:First>L.</b:First>
          </b:Person>
          <b:Person>
            <b:Last>Cubillán</b:Last>
            <b:First>A.</b:First>
          </b:Person>
        </b:NameList>
      </b:Author>
    </b:Author>
    <b:Volume>10</b:Volume>
    <b:RefOrder>42</b:RefOrder>
  </b:Source>
  <b:Source>
    <b:Tag>Rin11</b:Tag>
    <b:SourceType>Book</b:SourceType>
    <b:Guid>{3982E9DE-4484-4FC4-B8E1-80009045FB69}</b:Guid>
    <b:Title>Presupuestos empresariales</b:Title>
    <b:Year>2011</b:Year>
    <b:Pages>14</b:Pages>
    <b:City>Bogotá</b:City>
    <b:Publisher>Eco Ediciones</b:Publisher>
    <b:Author>
      <b:Author>
        <b:NameList>
          <b:Person>
            <b:Last>Rincón</b:Last>
            <b:First>C.</b:First>
          </b:Person>
        </b:NameList>
      </b:Author>
    </b:Author>
    <b:Edition>1° Edicion</b:Edition>
    <b:URL>https://www.academia.edu/35646497/Presupuestos-empresariales</b:URL>
    <b:RefOrder>43</b:RefOrder>
  </b:Source>
  <b:Source>
    <b:Tag>Fer13</b:Tag>
    <b:SourceType>JournalArticle</b:SourceType>
    <b:Guid>{8F8F535C-364A-4C42-B75C-87FCCF757849}</b:Guid>
    <b:Title>La gestión económico-presupuestaria en las Administraciones Públicas</b:Title>
    <b:Year>2013</b:Year>
    <b:City>Madrid</b:City>
    <b:Publisher>Escuela Nacional de Sanidad ENS</b:Publisher>
    <b:Author>
      <b:Author>
        <b:NameList>
          <b:Person>
            <b:Last>Fernández </b:Last>
            <b:First>Á.</b:First>
          </b:Person>
        </b:NameList>
      </b:Author>
    </b:Author>
    <b:JournalName>Espacios</b:JournalName>
    <b:Pages>5</b:Pages>
    <b:URL>http://e-spacio.uned.es/fez/eserv/bibliuned:500844/n11.1_La_gesti__n_econ__mico-presupuestaria.pdf</b:URL>
    <b:RefOrder>44</b:RefOrder>
  </b:Source>
  <b:Source>
    <b:Tag>MarcadorDePosición5</b:Tag>
    <b:SourceType>Book</b:SourceType>
    <b:Guid>{832CA72C-0C9C-48BF-AEDF-EAF715C2CE96}</b:Guid>
    <b:Title>Metodología de la investigación administración, economía, humanidades y ciencias sociales</b:Title>
    <b:Year>2010</b:Year>
    <b:Pages>60</b:Pages>
    <b:City>Colombia</b:City>
    <b:Publisher>Pearsón Educación</b:Publisher>
    <b:Author>
      <b:Author>
        <b:NameList>
          <b:Person>
            <b:Last>Bernal</b:Last>
            <b:First>C.</b:First>
          </b:Person>
        </b:NameList>
      </b:Author>
    </b:Author>
    <b:Edition>Tercera Edición</b:Edition>
    <b:DOI>ISBN: 978-958-699-128-5</b:DOI>
    <b:RefOrder>45</b:RefOrder>
  </b:Source>
  <b:Source>
    <b:Tag>Sán18</b:Tag>
    <b:SourceType>Book</b:SourceType>
    <b:Guid>{10CF70AA-2607-430D-BAD6-F4D70C00D2C0}</b:Guid>
    <b:Title>Manual de términos en investigación científica, tecnológica y humanística</b:Title>
    <b:Year>2018</b:Year>
    <b:City>Lima - Perú</b:City>
    <b:Publisher>Universidad Ricardo Palma</b:Publisher>
    <b:Author>
      <b:Author>
        <b:NameList>
          <b:Person>
            <b:Last>Sánchez</b:Last>
            <b:First>H.</b:First>
          </b:Person>
          <b:Person>
            <b:Last>Reyes</b:Last>
            <b:First>C.</b:First>
          </b:Person>
          <b:Person>
            <b:Last>Mejía</b:Last>
            <b:First>K.</b:First>
          </b:Person>
        </b:NameList>
      </b:Author>
    </b:Author>
    <b:Pages>90</b:Pages>
    <b:Edition>Primera Edición</b:Edition>
    <b:DOI>ISBN Nº 978-612-47351-4-1</b:DOI>
    <b:RefOrder>46</b:RefOrder>
  </b:Source>
  <b:Source>
    <b:Tag>Var12</b:Tag>
    <b:SourceType>Book</b:SourceType>
    <b:Guid>{57ADE12A-EF53-40FC-8049-2ABB3EB627E4}</b:Guid>
    <b:Title>Desde la Idea hasta la sustentación:7 pasos para una tesis exitosa</b:Title>
    <b:Year>2012</b:Year>
    <b:City>Perú</b:City>
    <b:Publisher>Universidad de San Martín de Porres</b:Publisher>
    <b:Author>
      <b:Author>
        <b:NameList>
          <b:Person>
            <b:Last>Vara</b:Last>
            <b:First>A.</b:First>
          </b:Person>
        </b:NameList>
      </b:Author>
    </b:Author>
    <b:Pages>221</b:Pages>
    <b:Edition>Tercera</b:Edition>
    <b:URL>https://www.administracion.usmp.edu.pe/investigacion/files/7-PASOS-PARA-UNA-TESIS-EXITOSA-Desde-la-idea-inicial-hasta-la-sustentaci%C3%B3n.pdf</b:URL>
    <b:RefOrder>47</b:RefOrder>
  </b:Source>
  <b:Source>
    <b:Tag>Beh08</b:Tag>
    <b:SourceType>Book</b:SourceType>
    <b:Guid>{847E3D1C-8632-4760-B596-0754234EF829}</b:Guid>
    <b:Title>Metodología de la invetigación</b:Title>
    <b:Year>2008</b:Year>
    <b:Publisher>Editorial Shalom</b:Publisher>
    <b:Author>
      <b:Author>
        <b:NameList>
          <b:Person>
            <b:Last>Behar</b:Last>
            <b:First>D.</b:First>
          </b:Person>
        </b:NameList>
      </b:Author>
    </b:Author>
    <b:DOI>ISBN 978-959-212-783-7</b:DOI>
    <b:RefOrder>48</b:RefOrder>
  </b:Source>
  <b:Source>
    <b:Tag>Rod06</b:Tag>
    <b:SourceType>JournalArticle</b:SourceType>
    <b:Guid>{C273ABEB-F033-4AA8-81AC-DF6AB8BDF89F}</b:Guid>
    <b:Title>Factores clave de éxito en la gestión presupuestaria del sector pastas alimenticias en la región zuliana</b:Title>
    <b:Year>2006</b:Year>
    <b:JournalName>Revista Venezolana de Gerencia</b:JournalName>
    <b:Author>
      <b:Author>
        <b:NameList>
          <b:Person>
            <b:Last>Rodríguez</b:Last>
            <b:First>G.</b:First>
          </b:Person>
          <b:Person>
            <b:Last>Vílchez</b:Last>
            <b:First>G,</b:First>
          </b:Person>
          <b:Person>
            <b:Last>Urdaneta</b:Last>
            <b:First>A.</b:First>
          </b:Person>
        </b:NameList>
      </b:Author>
    </b:Author>
    <b:Volume>11</b:Volume>
    <b:Issue>35</b:Issue>
    <b:URL>http://ve.scielo.org/scielo.php?script=sci_arttext&amp;pid=S1315-99842006000300004</b:URL>
    <b:Pages>2</b:Pages>
    <b:RefOrder>49</b:RefOrder>
  </b:Source>
  <b:Source>
    <b:Tag>MarcadorDePosición6</b:Tag>
    <b:SourceType>InternetSite</b:SourceType>
    <b:Guid>{9A889864-FA81-4D27-9C39-A47219497C5E}</b:Guid>
    <b:Title>La economía ecuatoriana puede caer hasta 9,6% en este 2020</b:Title>
    <b:Year>2020</b:Year>
    <b:Author>
      <b:Author>
        <b:NameList>
          <b:Person>
            <b:Last>El Comercio</b:Last>
            <b:First>EC</b:First>
          </b:Person>
        </b:NameList>
      </b:Author>
    </b:Author>
    <b:Month>junio</b:Month>
    <b:Day>05</b:Day>
    <b:URL>https://www.elcomercio.com/actualidad/economia-ecuador-banco-central-dolarizacion.html#:~:text=El%20Fondo%20Monetario%20Internacional%20(FMI,%2C5%25%20en%20el%202020.&amp;text=Y%20a%C3%B1ade%20que%20este%20a%C3%B1o,300%20millones%20en%20obra%20p%C3%BAblica.</b:URL>
    <b:RefOrder>50</b:RefOrder>
  </b:Source>
  <b:Source>
    <b:Tag>Aré18</b:Tag>
    <b:SourceType>Book</b:SourceType>
    <b:Guid>{578EE461-EA68-498C-92DB-B13A06CA6F13}</b:Guid>
    <b:Title>Estudio de mercado y estrategias de marketing digital para Foodie 2.0</b:Title>
    <b:Year>2018</b:Year>
    <b:Author>
      <b:Author>
        <b:NameList>
          <b:Person>
            <b:Last>Arévalo</b:Last>
            <b:First>Anggie</b:First>
          </b:Person>
        </b:NameList>
      </b:Author>
    </b:Author>
    <b:City>Guayaquil, Ecuador</b:City>
    <b:Publisher>Universidad de Guayaquil</b:Publisher>
    <b:RefOrder>51</b:RefOrder>
  </b:Source>
  <b:Source>
    <b:Tag>Kot111</b:Tag>
    <b:SourceType>Book</b:SourceType>
    <b:Guid>{C696B4FC-3B41-4C7F-8F7F-68C8BC9969A8}</b:Guid>
    <b:Author>
      <b:Author>
        <b:NameList>
          <b:Person>
            <b:Last>Kotler</b:Last>
            <b:First>P.</b:First>
          </b:Person>
          <b:Person>
            <b:Last>Armstrong</b:Last>
            <b:First>G.</b:First>
          </b:Person>
        </b:NameList>
      </b:Author>
    </b:Author>
    <b:Title>Marketing: Edición para Latinoamérica</b:Title>
    <b:Year>2011</b:Year>
    <b:City>New Jersey, USA</b:City>
    <b:Publisher>8ª ed., Pearson</b:Publisher>
    <b:RefOrder>52</b:RefOrder>
  </b:Source>
  <b:Source>
    <b:Tag>Lam14</b:Tag>
    <b:SourceType>Book</b:SourceType>
    <b:Guid>{DC892E8D-B91F-4CA6-AB41-73505EBEF2BB}</b:Guid>
    <b:Author>
      <b:Author>
        <b:NameList>
          <b:Person>
            <b:Last>Lamb</b:Last>
            <b:First>C.</b:First>
          </b:Person>
          <b:Person>
            <b:Last>Hair</b:Last>
            <b:First>J.</b:First>
          </b:Person>
          <b:Person>
            <b:Last>McDaniel</b:Last>
            <b:First>C.</b:First>
          </b:Person>
        </b:NameList>
      </b:Author>
    </b:Author>
    <b:Title>Marketing</b:Title>
    <b:Year>2014</b:Year>
    <b:City>Estado de México</b:City>
    <b:Publisher>Cengage Learning</b:Publisher>
    <b:RefOrder>53</b:RefOrder>
  </b:Source>
  <b:Source>
    <b:Tag>Sta12</b:Tag>
    <b:SourceType>Book</b:SourceType>
    <b:Guid>{21A1BF3A-ED98-4722-9186-388B38C99FEC}</b:Guid>
    <b:Author>
      <b:Author>
        <b:NameList>
          <b:Person>
            <b:Last>Stanton</b:Last>
            <b:First>William</b:First>
            <b:Middle>J.</b:Middle>
          </b:Person>
          <b:Person>
            <b:Last>Etzel</b:Last>
            <b:First>Michael</b:First>
            <b:Middle>J.</b:Middle>
          </b:Person>
          <b:Person>
            <b:Last>Walker</b:Last>
            <b:First>Bruce</b:First>
            <b:Middle>J.</b:Middle>
          </b:Person>
        </b:NameList>
      </b:Author>
    </b:Author>
    <b:Title>Fundamentos de marketing</b:Title>
    <b:Year>2007</b:Year>
    <b:City>México</b:City>
    <b:Publisher>14ª ed., Mcgraw-Hill Interamericana S.A.</b:Publisher>
    <b:RefOrder>54</b:RefOrder>
  </b:Source>
  <b:Source>
    <b:Tag>Kot121</b:Tag>
    <b:SourceType>Book</b:SourceType>
    <b:Guid>{D8CF6D81-65A5-4A46-A4D6-6E38C9BF679E}</b:Guid>
    <b:Author>
      <b:Author>
        <b:NameList>
          <b:Person>
            <b:Last>Kotler</b:Last>
            <b:First>P.</b:First>
          </b:Person>
        </b:NameList>
      </b:Author>
    </b:Author>
    <b:Title>Dirección de marketing: Conceptos esenciales </b:Title>
    <b:Year>2012</b:Year>
    <b:City>México: </b:City>
    <b:Publisher>14ª ed., Pearson</b:Publisher>
    <b:RefOrder>55</b:RefOrder>
  </b:Source>
  <b:Source>
    <b:Tag>San121</b:Tag>
    <b:SourceType>Book</b:SourceType>
    <b:Guid>{70740835-A8AD-4B8B-9334-5AC88794A230}</b:Guid>
    <b:Author>
      <b:Author>
        <b:NameList>
          <b:Person>
            <b:Last>Santesmases</b:Last>
            <b:First>M.</b:First>
            <b:Middle>M.</b:Middle>
          </b:Person>
        </b:NameList>
      </b:Author>
    </b:Author>
    <b:Title>Marketing: Conceptos y Estrategias </b:Title>
    <b:Year>2012</b:Year>
    <b:City>Madrid</b:City>
    <b:Publisher>Editorial PIRÁMIDE</b:Publisher>
    <b:RefOrder>56</b:RefOrder>
  </b:Source>
  <b:Source>
    <b:Tag>Kot12</b:Tag>
    <b:SourceType>Book</b:SourceType>
    <b:Guid>{4C55E36B-F568-4452-A641-B8668B1CF9C3}</b:Guid>
    <b:Author>
      <b:Author>
        <b:NameList>
          <b:Person>
            <b:Last>Kotler</b:Last>
            <b:First>P.</b:First>
          </b:Person>
          <b:Person>
            <b:Last>Armstrong</b:Last>
            <b:First>G</b:First>
          </b:Person>
        </b:NameList>
      </b:Author>
    </b:Author>
    <b:Title>Fundamentos de Marketing</b:Title>
    <b:Year>2012</b:Year>
    <b:City>México</b:City>
    <b:Publisher>14ª ed. Pearson</b:Publisher>
    <b:RefOrder>57</b:RefOrder>
  </b:Source>
  <b:Source>
    <b:Tag>Muñ15</b:Tag>
    <b:SourceType>Book</b:SourceType>
    <b:Guid>{BEB97FC6-AE37-4A88-9890-0C135D6CCC0A}</b:Guid>
    <b:Title>Marketing en el Siglo XXI</b:Title>
    <b:Year>2015</b:Year>
    <b:Author>
      <b:Author>
        <b:NameList>
          <b:Person>
            <b:Last>Muñiz</b:Last>
            <b:First>R.</b:First>
          </b:Person>
        </b:NameList>
      </b:Author>
    </b:Author>
    <b:City>México D. F.</b:City>
    <b:Publisher>5ª ed. </b:Publisher>
    <b:RefOrder>58</b:RefOrder>
  </b:Source>
  <b:Source>
    <b:Tag>Bae10</b:Tag>
    <b:SourceType>Book</b:SourceType>
    <b:Guid>{6CAFB535-047C-44F0-B62B-3188008148CD}</b:Guid>
    <b:Author>
      <b:Author>
        <b:NameList>
          <b:Person>
            <b:Last>Baena</b:Last>
            <b:First>G.</b:First>
            <b:Middle>V.</b:Middle>
          </b:Person>
          <b:Person>
            <b:Last>Moreno</b:Last>
            <b:First>S.</b:First>
            <b:Middle>M.</b:Middle>
          </b:Person>
        </b:NameList>
      </b:Author>
    </b:Author>
    <b:Title>Instrumentos de marketing: decisiones sobre producto, precio, distribución, comunicación y marketing directo</b:Title>
    <b:Year>2010</b:Year>
    <b:City>Barcelona, España</b:City>
    <b:Publisher>Editorial UOC</b:Publisher>
    <b:RefOrder>59</b:RefOrder>
  </b:Source>
  <b:Source>
    <b:Tag>Jon101</b:Tag>
    <b:SourceType>Book</b:SourceType>
    <b:Guid>{64756B4A-E2D7-4925-90A9-4C9BC9D77359}</b:Guid>
    <b:Author>
      <b:Author>
        <b:NameList>
          <b:Person>
            <b:Last>Jones</b:Last>
            <b:First>G.</b:First>
            <b:Middle>R.</b:Middle>
          </b:Person>
          <b:Person>
            <b:Last>George</b:Last>
            <b:First>J.</b:First>
          </b:Person>
        </b:NameList>
      </b:Author>
    </b:Author>
    <b:Title>Administración Comtemporánea</b:Title>
    <b:Year>2010</b:Year>
    <b:City>México</b:City>
    <b:Publisher>6ª. ed., McGraw Hill</b:Publisher>
    <b:RefOrder>60</b:RefOrder>
  </b:Source>
  <b:Source>
    <b:Tag>Pal181</b:Tag>
    <b:SourceType>Book</b:SourceType>
    <b:Guid>{054B1BD1-1EBB-43C3-ADFF-BA2D18DAC2E2}</b:Guid>
    <b:Author>
      <b:Author>
        <b:NameList>
          <b:Person>
            <b:Last>Paladines</b:Last>
            <b:First>Laura</b:First>
          </b:Person>
        </b:NameList>
      </b:Author>
    </b:Author>
    <b:Title>Plan de marketing para el posicionamiento de la empresa "Inicia" en la ciudad y provincia de Loja en el período 2017</b:Title>
    <b:Year>2018</b:Year>
    <b:City>Loja, Ecuador</b:City>
    <b:Publisher>Universidad Internacional del Ecuador</b:Publisher>
    <b:RefOrder>61</b:RefOrder>
  </b:Source>
  <b:Source>
    <b:Tag>Gir16</b:Tag>
    <b:SourceType>Book</b:SourceType>
    <b:Guid>{91295F4F-A6FC-44F8-ABB6-DAF05D9EC52A}</b:Guid>
    <b:Author>
      <b:Author>
        <b:NameList>
          <b:Person>
            <b:Last>Giraldo</b:Last>
            <b:First>M.</b:First>
          </b:Person>
          <b:Person>
            <b:Last>Juliao</b:Last>
            <b:First>D.</b:First>
          </b:Person>
        </b:NameList>
      </b:Author>
    </b:Author>
    <b:Title>Gerencia de Marketing</b:Title>
    <b:Year>2016</b:Year>
    <b:City>Barranquilla</b:City>
    <b:Publisher>Ecoe Ediciones</b:Publisher>
    <b:RefOrder>62</b:RefOrder>
  </b:Source>
  <b:Source>
    <b:Tag>Val19</b:Tag>
    <b:SourceType>Book</b:SourceType>
    <b:Guid>{D0E549E4-041D-4764-A553-3E06B7E9951E}</b:Guid>
    <b:Author>
      <b:Author>
        <b:NameList>
          <b:Person>
            <b:Last>Vallejo</b:Last>
            <b:First>Liliana</b:First>
          </b:Person>
        </b:NameList>
      </b:Author>
    </b:Author>
    <b:Title>Diseño de un plan de marketing digital de ventas on-line de productos Fitofármacos. Caso: Empresa VR Naturista</b:Title>
    <b:Year>2019</b:Year>
    <b:City>Quito, Ecuador</b:City>
    <b:Publisher>Pontificia Universidad Católica del Ecuador</b:Publisher>
    <b:RefOrder>63</b:RefOrder>
  </b:Source>
  <b:Source>
    <b:Tag>Kot122</b:Tag>
    <b:SourceType>Book</b:SourceType>
    <b:Guid>{5C4249A2-A2EC-4ED2-844D-02A3D5B4E3A5}</b:Guid>
    <b:Author>
      <b:Author>
        <b:NameList>
          <b:Person>
            <b:Last>Kotler</b:Last>
            <b:First>P.</b:First>
          </b:Person>
          <b:Person>
            <b:Last>Armstrong</b:Last>
            <b:First>G</b:First>
          </b:Person>
        </b:NameList>
      </b:Author>
    </b:Author>
    <b:Title>Marketing</b:Title>
    <b:Year>2012</b:Year>
    <b:City>México</b:City>
    <b:Publisher>Pearson Education</b:Publisher>
    <b:RefOrder>64</b:RefOrder>
  </b:Source>
  <b:Source>
    <b:Tag>Sai18</b:Tag>
    <b:SourceType>Book</b:SourceType>
    <b:Guid>{1E254C67-BF84-43A0-9D37-B38BA4416E8F}</b:Guid>
    <b:Author>
      <b:Author>
        <b:NameList>
          <b:Person>
            <b:Last>Sainz de Vicuña</b:Last>
            <b:First>J.</b:First>
            <b:Middle>M.</b:Middle>
          </b:Person>
        </b:NameList>
      </b:Author>
    </b:Author>
    <b:Title>El plan de marketing digital en la práctica</b:Title>
    <b:Year>2018</b:Year>
    <b:City>Madrid, España</b:City>
    <b:Publisher>ESIC Editorial</b:Publisher>
    <b:RefOrder>65</b:RefOrder>
  </b:Source>
  <b:Source>
    <b:Tag>Kad13</b:Tag>
    <b:SourceType>Book</b:SourceType>
    <b:Guid>{705D0298-30AE-47BB-9545-41E23DA21286}</b:Guid>
    <b:Author>
      <b:Author>
        <b:NameList>
          <b:Person>
            <b:Last>Kadushin</b:Last>
            <b:First>C.</b:First>
          </b:Person>
        </b:NameList>
      </b:Author>
    </b:Author>
    <b:Title>Comprender las redes sociales: Teorías, conceptos y hallazgos</b:Title>
    <b:Year>2013</b:Year>
    <b:City>Madrid, España</b:City>
    <b:Publisher>Centro de Investigaciones Sociológicas</b:Publisher>
    <b:RefOrder>66</b:RefOrder>
  </b:Source>
  <b:Source>
    <b:Tag>Vás05</b:Tag>
    <b:SourceType>Book</b:SourceType>
    <b:Guid>{C2B50169-2B34-4525-8C02-1BC820686281}</b:Guid>
    <b:Author>
      <b:Author>
        <b:NameList>
          <b:Person>
            <b:Last>Vásquez</b:Last>
            <b:First>J.</b:First>
            <b:Middle>A.</b:Middle>
          </b:Person>
        </b:NameList>
      </b:Author>
    </b:Author>
    <b:Title>Investigación descriptiva</b:Title>
    <b:Year>2005</b:Year>
    <b:RefOrder>67</b:RefOrder>
  </b:Source>
  <b:Source>
    <b:Tag>Lib131</b:Tag>
    <b:SourceType>Book</b:SourceType>
    <b:Guid>{14AFAF95-357A-468E-91F6-F01566662682}</b:Guid>
    <b:Author>
      <b:Author>
        <b:NameList>
          <b:Person>
            <b:Last>Liberos</b:Last>
            <b:First>E.</b:First>
          </b:Person>
          <b:Person>
            <b:Last>Núñez</b:Last>
            <b:First>Á.</b:First>
          </b:Person>
          <b:Person>
            <b:Last>Bareño</b:Last>
            <b:First>R.</b:First>
          </b:Person>
          <b:Person>
            <b:Last>García</b:Last>
            <b:First>R.</b:First>
          </b:Person>
          <b:Person>
            <b:Last>Gutiérrez</b:Last>
            <b:First>J.</b:First>
            <b:Middle>C.</b:Middle>
          </b:Person>
          <b:Person>
            <b:Last>Pino</b:Last>
            <b:First>G.</b:First>
          </b:Person>
        </b:NameList>
      </b:Author>
    </b:Author>
    <b:Title>El libro del Marketing Interactivo y la Publlicidad Digital</b:Title>
    <b:Year>2013</b:Year>
    <b:City>Madrid, España</b:City>
    <b:Publisher>ESIC Editorial</b:Publisher>
    <b:RefOrder>68</b:RefOrder>
  </b:Source>
  <b:Source>
    <b:Tag>Niz18</b:Tag>
    <b:SourceType>BookSection</b:SourceType>
    <b:Guid>{1B75E778-D559-4361-9118-29A6B328DBC9}</b:Guid>
    <b:Year>2018</b:Year>
    <b:City>Tesis de titulación. Peru</b:City>
    <b:Publisher>Universidad Cesar Vallejo.</b:Publisher>
    <b:Author>
      <b:Author>
        <b:NameList>
          <b:Person>
            <b:Last>Nizama</b:Last>
            <b:First>M.</b:First>
          </b:Person>
        </b:NameList>
      </b:Author>
    </b:Author>
    <b:BookTitle>Perfil del empresario productor de derivados de algarrobo de Piura para la exportación al mercado de Estados Unidos, 2018</b:BookTitle>
    <b:RefOrder>69</b:RefOrder>
  </b:Source>
  <b:Source>
    <b:Tag>Win17</b:Tag>
    <b:SourceType>BookSection</b:SourceType>
    <b:Guid>{A24F09EB-59FC-4804-A8EE-299043F0FF0C}</b:Guid>
    <b:Year>2017</b:Year>
    <b:City>Tesis de titulación. Peru</b:City>
    <b:Publisher>Universidad Cesar Vallejo</b:Publisher>
    <b:Author>
      <b:Author>
        <b:NameList>
          <b:Person>
            <b:Last>Winter</b:Last>
            <b:First>A.</b:First>
          </b:Person>
        </b:NameList>
      </b:Author>
    </b:Author>
    <b:BookTitle>Diagnóstico sobre la producción de Algarrobina para el mercado de la Unión Europea: “Caserío de Sáncor Distrito de Chulucanas – Morropón 2017”</b:BookTitle>
    <b:RefOrder>70</b:RefOrder>
  </b:Source>
  <b:Source>
    <b:Tag>Pan18</b:Tag>
    <b:SourceType>BookSection</b:SourceType>
    <b:Guid>{47FD5962-2800-4F84-B7DB-30609AF2E72D}</b:Guid>
    <b:Year>2018</b:Year>
    <b:City>Tesis de titulación. Peru</b:City>
    <b:Publisher>Universidad Cesar Vallejo</b:Publisher>
    <b:Author>
      <b:Author>
        <b:NameList>
          <b:Person>
            <b:Last>Pantoja</b:Last>
            <b:First>A.</b:First>
          </b:Person>
        </b:NameList>
      </b:Author>
    </b:Author>
    <b:BookTitle>Exportaciones de las principales empresas peruanas exportadoras de quinua hacia los Estados Unidos</b:BookTitle>
    <b:JournalName>Tesis de titulación</b:JournalName>
    <b:RefOrder>71</b:RefOrder>
  </b:Source>
  <b:Source>
    <b:Tag>Ort17</b:Tag>
    <b:SourceType>BookSection</b:SourceType>
    <b:Guid>{99F3AB6E-2C01-41C8-A7AC-0D9FD9456A6C}</b:Guid>
    <b:Year>2017</b:Year>
    <b:City>Tesis de titulación. Peru</b:City>
    <b:Publisher>Universidad Norbert Wiener</b:Publisher>
    <b:Author>
      <b:Author>
        <b:NameList>
          <b:Person>
            <b:Last>Ortiz</b:Last>
            <b:First>M.</b:First>
          </b:Person>
        </b:NameList>
      </b:Author>
    </b:Author>
    <b:BookTitle>Oferta exportable de jugo de tumbo al mercado internacional para el desarrollo sostenible del Perú, 2017</b:BookTitle>
    <b:RefOrder>72</b:RefOrder>
  </b:Source>
  <b:Source>
    <b:Tag>Tar17</b:Tag>
    <b:SourceType>BookSection</b:SourceType>
    <b:Guid>{9FD3229B-9368-4F81-93FD-BC86FE7FEB86}</b:Guid>
    <b:Year>2017</b:Year>
    <b:City>Tesis de titulación. Peru</b:City>
    <b:Publisher>Universidad Norbert Wiener</b:Publisher>
    <b:Author>
      <b:Author>
        <b:NameList>
          <b:Person>
            <b:Last>Tarmeño</b:Last>
            <b:First>L.</b:First>
          </b:Person>
        </b:NameList>
      </b:Author>
    </b:Author>
    <b:BookTitle>Oferta exportable de pecana al mercado del país de China 2017.</b:BookTitle>
    <b:RefOrder>73</b:RefOrder>
  </b:Source>
  <b:Source>
    <b:Tag>Flo171</b:Tag>
    <b:SourceType>BookSection</b:SourceType>
    <b:Guid>{B4002341-E45B-444C-AB48-D4AD3910030A}</b:Guid>
    <b:Year>2017</b:Year>
    <b:City>Tesis de titulación. Ecuador</b:City>
    <b:Publisher>Universidad de Guayaquil</b:Publisher>
    <b:Author>
      <b:Author>
        <b:NameList>
          <b:Person>
            <b:Last>Flores</b:Last>
            <b:First>J.</b:First>
          </b:Person>
          <b:Person>
            <b:Last>Rodríguez</b:Last>
            <b:First>J.</b:First>
          </b:Person>
        </b:NameList>
      </b:Author>
    </b:Author>
    <b:BookTitle>Modelo de negocio para la producción y comercialización de conservas de guayaba en la provincia del guayas y su futura exportación al mercado de New York.</b:BookTitle>
    <b:RefOrder>74</b:RefOrder>
  </b:Source>
  <b:Source>
    <b:Tag>Aco18</b:Tag>
    <b:SourceType>BookSection</b:SourceType>
    <b:Guid>{D7A0B13E-3DF9-4B40-9BFB-A0341140889B}</b:Guid>
    <b:BookTitle>Modelo de negocio del jugo adelgazante a base de uvilla con stevia dirigido al mercado de Estados Unidos.</b:BookTitle>
    <b:Year>2018</b:Year>
    <b:City>Tesis de titulación. Ecuador</b:City>
    <b:Publisher>Universidad de Guayaquil</b:Publisher>
    <b:Author>
      <b:Author>
        <b:NameList>
          <b:Person>
            <b:Last>Acosta</b:Last>
            <b:First>D.</b:First>
          </b:Person>
          <b:Person>
            <b:Last>Cahuana</b:Last>
            <b:First>E.</b:First>
          </b:Person>
        </b:NameList>
      </b:Author>
    </b:Author>
    <b:RefOrder>75</b:RefOrder>
  </b:Source>
  <b:Source>
    <b:Tag>Fer17</b:Tag>
    <b:SourceType>BookSection</b:SourceType>
    <b:Guid>{6EFAD3D1-667C-4632-814F-7A70A2B11F5D}</b:Guid>
    <b:BookTitle>Análisis de la factibilidad para la creación de una empresa exportadora de concentrado de aloe vera al mercado de Estados Unidos.</b:BookTitle>
    <b:Year>2017</b:Year>
    <b:City>Tesis de titulación. Ecuador</b:City>
    <b:Publisher>Universidad de Guayaquil</b:Publisher>
    <b:Author>
      <b:Author>
        <b:NameList>
          <b:Person>
            <b:Last>Ferruzola</b:Last>
            <b:First>E.</b:First>
          </b:Person>
          <b:Person>
            <b:Last>Yáguar</b:Last>
            <b:First>E.</b:First>
          </b:Person>
        </b:NameList>
      </b:Author>
    </b:Author>
    <b:RefOrder>76</b:RefOrder>
  </b:Source>
  <b:Source>
    <b:Tag>Hil17</b:Tag>
    <b:SourceType>BookSection</b:SourceType>
    <b:Guid>{09470CE4-D11D-428A-A97B-7ED0DF518666}</b:Guid>
    <b:BookTitle>Diseño de un Plan Estratégico para Exportar Uvilla Ecuatoriana a la Unión Europea.</b:BookTitle>
    <b:Year>2017</b:Year>
    <b:City>Tesis de magister. Ecuador</b:City>
    <b:Publisher>Universidad de Guayaquil</b:Publisher>
    <b:Author>
      <b:Author>
        <b:NameList>
          <b:Person>
            <b:Last>Hilaca</b:Last>
            <b:First>D.</b:First>
          </b:Person>
        </b:NameList>
      </b:Author>
    </b:Author>
    <b:RefOrder>77</b:RefOrder>
  </b:Source>
  <b:Source>
    <b:Tag>Chi00</b:Tag>
    <b:SourceType>Book</b:SourceType>
    <b:Guid>{49F7F86D-EF31-418D-995C-371C970335DE}</b:Guid>
    <b:Title>Introducción a la teoría general de la adminsitración</b:Title>
    <b:Year>2000</b:Year>
    <b:City>Mexico DF</b:City>
    <b:Publisher>Mc Graw Hill</b:Publisher>
    <b:Author>
      <b:Author>
        <b:NameList>
          <b:Person>
            <b:Last>Chiavenato</b:Last>
            <b:First>I</b:First>
          </b:Person>
        </b:NameList>
      </b:Author>
    </b:Author>
    <b:RefOrder>78</b:RefOrder>
  </b:Source>
  <b:Source>
    <b:Tag>Pan05</b:Tag>
    <b:SourceType>Book</b:SourceType>
    <b:Guid>{A7EABD1E-63C6-4806-BB2B-63D3E9239498}</b:Guid>
    <b:Title>Principales escuela del pensamiento administrativo</b:Title>
    <b:Year>2005</b:Year>
    <b:City>Costa Rica</b:City>
    <b:Publisher>Euned</b:Publisher>
    <b:Author>
      <b:Author>
        <b:NameList>
          <b:Person>
            <b:Last>Paniagua</b:Last>
            <b:First>C</b:First>
          </b:Person>
        </b:NameList>
      </b:Author>
    </b:Author>
    <b:RefOrder>79</b:RefOrder>
  </b:Source>
  <b:Source>
    <b:Tag>Pon05</b:Tag>
    <b:SourceType>Book</b:SourceType>
    <b:Guid>{B07C4829-3A96-4C56-BF0C-61D2DA93607B}</b:Guid>
    <b:Title>Administración por objetivos</b:Title>
    <b:Year>2005</b:Year>
    <b:City>Mexico</b:City>
    <b:Publisher>Limusa</b:Publisher>
    <b:Author>
      <b:Author>
        <b:NameList>
          <b:Person>
            <b:Last>Ponce</b:Last>
            <b:First>R</b:First>
          </b:Person>
        </b:NameList>
      </b:Author>
    </b:Author>
    <b:RefOrder>80</b:RefOrder>
  </b:Source>
  <b:Source>
    <b:Tag>Cor02</b:Tag>
    <b:SourceType>Book</b:SourceType>
    <b:Guid>{8B150B84-8FE9-4C66-9C9A-5CA320D62DB7}</b:Guid>
    <b:Title>Comercio Internacional hacia una gestión competitiva</b:Title>
    <b:Year>2002</b:Year>
    <b:City>Lima</b:City>
    <b:Publisher>San Marcos</b:Publisher>
    <b:Author>
      <b:Author>
        <b:NameList>
          <b:Person>
            <b:Last>Cornejo </b:Last>
            <b:First>E</b:First>
          </b:Person>
        </b:NameList>
      </b:Author>
    </b:Author>
    <b:RefOrder>81</b:RefOrder>
  </b:Source>
  <b:Source>
    <b:Tag>Cha05</b:Tag>
    <b:SourceType>Book</b:SourceType>
    <b:Guid>{6DD2B7B4-FA31-4E25-A935-71C38BB5F29E}</b:Guid>
    <b:Title>Manual de Comercio Exterior</b:Title>
    <b:Year>2005</b:Year>
    <b:City>Barcelano</b:City>
    <b:Publisher>Gestión 200</b:Publisher>
    <b:Author>
      <b:Author>
        <b:NameList>
          <b:Person>
            <b:Last>Charbert</b:Last>
            <b:First>J</b:First>
          </b:Person>
        </b:NameList>
      </b:Author>
    </b:Author>
    <b:RefOrder>82</b:RefOrder>
  </b:Source>
  <b:Source>
    <b:Tag>Min15</b:Tag>
    <b:SourceType>DocumentFromInternetSite</b:SourceType>
    <b:Guid>{1C052461-9A42-4B58-A842-4B54F8E94207}</b:Guid>
    <b:Author>
      <b:Author>
        <b:Corporate>Ministerio de Agricultura y Riego</b:Corporate>
      </b:Author>
    </b:Author>
    <b:Title>MINAGRI</b:Title>
    <b:InternetSiteTitle>MINAGRI</b:InternetSiteTitle>
    <b:Year>2015</b:Year>
    <b:URL>http://minagri.gob.pe/portal/objetivos/181-exportaciones/que-podemos-exportar/532-definicion-de-oferta-exportable</b:URL>
    <b:RefOrder>83</b:RefOrder>
  </b:Source>
  <b:Source>
    <b:Tag>Min151</b:Tag>
    <b:SourceType>JournalArticle</b:SourceType>
    <b:Guid>{94FB046A-5013-471C-99E6-29EB80204CD1}</b:Guid>
    <b:Title>Plan estratégico nacional exportador</b:Title>
    <b:JournalName>PENX 2025</b:JournalName>
    <b:Year>2015</b:Year>
    <b:Pages>300</b:Pages>
    <b:Author>
      <b:Author>
        <b:Corporate>Ministerio de Comercio Exterior y Turismo</b:Corporate>
      </b:Author>
    </b:Author>
    <b:URL>https://www.mincetur.gob.pe/wp-content/uploads/documentos/comercio_exterior/plan_exportador/Penx_2025/PENX_FINAL_101215.pdf</b:URL>
    <b:RefOrder>84</b:RefOrder>
  </b:Source>
  <b:Source>
    <b:Tag>Min152</b:Tag>
    <b:SourceType>BookSection</b:SourceType>
    <b:Guid>{23771E18-BB3E-46A6-909B-1BBA607F996F}</b:Guid>
    <b:BookTitle>Plan estratégico nacional exportador: PENX 2025. MINCETUR.</b:BookTitle>
    <b:Year>2015</b:Year>
    <b:Publisher>Ministerio de Comercio Exterior y Turismo, 2015</b:Publisher>
    <b:Author>
      <b:Author>
        <b:NameList>
          <b:Person>
            <b:Last>Ministerio de Comercio Exterior y Turismo,</b:Last>
          </b:Person>
        </b:NameList>
      </b:Author>
    </b:Author>
    <b:RefOrder>85</b:RefOrder>
  </b:Source>
  <b:Source>
    <b:Tag>Min14</b:Tag>
    <b:SourceType>BookSection</b:SourceType>
    <b:Guid>{DD367E4C-4DE1-4B18-B39B-E5A9B76F319E}</b:Guid>
    <b:Year>2014</b:Year>
    <b:Author>
      <b:Author>
        <b:NameList>
          <b:Person>
            <b:Last>Ministerio de Comercio Exterior y Turismo,</b:Last>
          </b:Person>
        </b:NameList>
      </b:Author>
    </b:Author>
    <b:City>Peru</b:City>
    <b:Publisher>Biblioteca Nacional del Perú N° 2014-10207</b:Publisher>
    <b:BookTitle>Comercio exterior – texto educativo 3era edición.</b:BookTitle>
    <b:RefOrder>86</b:RefOrder>
  </b:Source>
  <b:Source>
    <b:Tag>Min051</b:Tag>
    <b:SourceType>BookSection</b:SourceType>
    <b:Guid>{15DE7BF4-781E-45F5-9DC6-AD4B5ADAAE88}</b:Guid>
    <b:BookTitle>Plan estratégico nacional del exportador. PENX 2003-2013.</b:BookTitle>
    <b:Year>2005</b:Year>
    <b:City>Peru</b:City>
    <b:Publisher>MINCETUR</b:Publisher>
    <b:Author>
      <b:Author>
        <b:NameList>
          <b:Person>
            <b:Last>Ministerio de Comercio Exterior y Turismo</b:Last>
          </b:Person>
        </b:NameList>
      </b:Author>
    </b:Author>
    <b:URL>https://www.mincetur.gob.pe/wpcontent/uploads/documentos/comercio_exterior/plan_exportador/Penx_2003_2013/2Planes_Sectoriales_POS/Sector_Servicios.pdf (Ministerio de Comercio Exterior y Turismo, 2005</b:URL>
    <b:RefOrder>87</b:RefOrder>
  </b:Source>
  <b:Source>
    <b:Tag>SII20</b:Tag>
    <b:SourceType>InternetSite</b:SourceType>
    <b:Guid>{7C7E223F-E99B-47B6-B3FB-3F49782FEED4}</b:Guid>
    <b:Title>RUTAS MARITIMAS</b:Title>
    <b:Year>2020</b:Year>
    <b:Author>
      <b:Author>
        <b:Corporate>SIICEX</b:Corporate>
      </b:Author>
    </b:Author>
    <b:Month>ENERO</b:Month>
    <b:Day>27</b:Day>
    <b:YearAccessed>2020</b:YearAccessed>
    <b:URL>http://rutasmaritimas.promperu.gob.pe/itinerario?prutamaestra=null,2,17</b:URL>
    <b:RefOrder>88</b:RefOrder>
  </b:Source>
  <b:Source>
    <b:Tag>Ler10</b:Tag>
    <b:SourceType>Book</b:SourceType>
    <b:Guid>{50A67680-BDA7-4A8A-92CB-3C48A68C49AD}</b:Guid>
    <b:Title>Comercio y Marketing Internacional</b:Title>
    <b:Year>2010</b:Year>
    <b:City>Mexico</b:City>
    <b:Publisher>CENGAGE Learning</b:Publisher>
    <b:Author>
      <b:Author>
        <b:NameList>
          <b:Person>
            <b:Last>Lerna</b:Last>
            <b:First>A</b:First>
          </b:Person>
          <b:Person>
            <b:Last>Márquez</b:Last>
            <b:First>E</b:First>
          </b:Person>
        </b:NameList>
      </b:Author>
    </b:Author>
    <b:RefOrder>89</b:RefOrder>
  </b:Source>
  <b:Source>
    <b:Tag>Min10</b:Tag>
    <b:SourceType>Report</b:SourceType>
    <b:Guid>{61B932B6-4A7D-46A3-99BB-F7549E7AEE9C}</b:Guid>
    <b:Author>
      <b:Author>
        <b:Corporate>Ministerio de Comercio Exterior y Turismo</b:Corporate>
      </b:Author>
    </b:Author>
    <b:Title>Guía de Requisitos Sanitarios y Fitosanitarios para exportar alimentos a los Estados Unidos</b:Title>
    <b:Year>2010</b:Year>
    <b:Publisher>MINCETUR</b:Publisher>
    <b:City>Lima</b:City>
    <b:RefOrder>90</b:RefOrder>
  </b:Source>
  <b:Source>
    <b:Tag>SUN16</b:Tag>
    <b:SourceType>InternetSite</b:SourceType>
    <b:Guid>{92D122E3-7EE9-4259-A6A7-4480674B4A1B}</b:Guid>
    <b:Author>
      <b:Author>
        <b:Corporate>SUNAT</b:Corporate>
      </b:Author>
    </b:Author>
    <b:Title>SUNAT.GOB.PE</b:Title>
    <b:InternetSiteTitle>SUNAT.GOB.PE</b:InternetSiteTitle>
    <b:Year>2016</b:Year>
    <b:URL>http://www.sunat.gob.pe/orientacionaduanera/nomenclaturaarancelaria/index.html</b:URL>
    <b:RefOrder>91</b:RefOrder>
  </b:Source>
  <b:Source>
    <b:Tag>Sis08</b:Tag>
    <b:SourceType>BookSection</b:SourceType>
    <b:Guid>{749595A4-91E2-484E-8B3C-ABA3B6304745}</b:Guid>
    <b:Title>Sistema Integrado de Información de Comercio Exterior</b:Title>
    <b:BookTitle>Documentos para Exportar</b:BookTitle>
    <b:Year>2008</b:Year>
    <b:City>Lima</b:City>
    <b:Publisher>SIICEX</b:Publisher>
    <b:URL>http://www.siicex.gob.pe/siicex/portal5ES.asp?_page_=827.82600</b:URL>
    <b:RefOrder>92</b:RefOrder>
  </b:Source>
  <b:Source>
    <b:Tag>PRO10</b:Tag>
    <b:SourceType>BookSection</b:SourceType>
    <b:Guid>{E698572B-1F7C-4AA1-925D-31921DD1B95F}</b:Guid>
    <b:BookTitle>Plan de Negocios Internacional de Exportación</b:BookTitle>
    <b:Year>2010</b:Year>
    <b:City>Mexico</b:City>
    <b:Publisher>Universidad Intercontinental</b:Publisher>
    <b:Author>
      <b:Author>
        <b:NameList>
          <b:Person>
            <b:Last>PROMEXICO</b:Last>
          </b:Person>
        </b:NameList>
      </b:Author>
    </b:Author>
    <b:RefOrder>93</b:RefOrder>
  </b:Source>
  <b:Source>
    <b:Tag>SUN161</b:Tag>
    <b:SourceType>BookSection</b:SourceType>
    <b:Guid>{36A3FE3B-B9D7-4B62-BC37-749210A87077}</b:Guid>
    <b:BookTitle>Orientación Aduanera de Exportación – Requisitos</b:BookTitle>
    <b:Year>2016</b:Year>
    <b:City>Lima</b:City>
    <b:Publisher>ADUANAS</b:Publisher>
    <b:Author>
      <b:Author>
        <b:NameList>
          <b:Person>
            <b:Last>SUNAT</b:Last>
          </b:Person>
        </b:NameList>
      </b:Author>
    </b:Author>
    <b:URL>http://www.sunat.gob.pe/orientacionaduanera/exportacion/requisitosEx.html</b:URL>
    <b:RefOrder>94</b:RefOrder>
  </b:Source>
  <b:Source>
    <b:Tag>Pro16</b:Tag>
    <b:SourceType>BookSection</b:SourceType>
    <b:Guid>{C753FB36-B052-49D6-942D-C751D64AE0CC}</b:Guid>
    <b:BookTitle>Manual de Documentos de Exportación</b:BookTitle>
    <b:Year>2016</b:Year>
    <b:City>Lima</b:City>
    <b:Publisher>Promperu</b:Publisher>
    <b:Author>
      <b:Author>
        <b:NameList>
          <b:Person>
            <b:Last>Promperu</b:Last>
          </b:Person>
        </b:NameList>
      </b:Author>
    </b:Author>
    <b:RefOrder>95</b:RefOrder>
  </b:Source>
  <b:Source>
    <b:Tag>Lam11</b:Tag>
    <b:SourceType>BookSection</b:SourceType>
    <b:Guid>{54DA2CDE-BF76-46F0-8419-CD02A5036984}</b:Guid>
    <b:BookTitle>Marketing 11e</b:BookTitle>
    <b:Year>2011</b:Year>
    <b:City>Mexico</b:City>
    <b:Publisher>Cengage Learning</b:Publisher>
    <b:Author>
      <b:Author>
        <b:NameList>
          <b:Person>
            <b:Last>Lamb</b:Last>
            <b:First>C.</b:First>
          </b:Person>
          <b:Person>
            <b:Last>Hair</b:Last>
            <b:First>Jr.</b:First>
          </b:Person>
          <b:Person>
            <b:Last>McDaniel</b:Last>
            <b:First>C.</b:First>
          </b:Person>
        </b:NameList>
      </b:Author>
    </b:Author>
    <b:RefOrder>96</b:RefOrder>
  </b:Source>
  <b:Source>
    <b:Tag>Sai13</b:Tag>
    <b:SourceType>BookSection</b:SourceType>
    <b:Guid>{5C112AC7-08C7-4F21-90D9-E3D550BD3B16}</b:Guid>
    <b:BookTitle>El plan de marketing en la práctica 18ª</b:BookTitle>
    <b:Year>2013</b:Year>
    <b:City>Madrid</b:City>
    <b:Publisher>ESIC EDITORIAL</b:Publisher>
    <b:Author>
      <b:Author>
        <b:NameList>
          <b:Person>
            <b:Last>Sainz</b:Last>
            <b:First>J.</b:First>
          </b:Person>
        </b:NameList>
      </b:Author>
    </b:Author>
    <b:RefOrder>97</b:RefOrder>
  </b:Source>
  <b:Source>
    <b:Tag>Min142</b:Tag>
    <b:SourceType>BookSection</b:SourceType>
    <b:Guid>{503FD61F-E559-4970-9E57-827D1866C565}</b:Guid>
    <b:BookTitle>Comercio exterior – texto educativo 3era edición</b:BookTitle>
    <b:Year>2014</b:Year>
    <b:City>Peru</b:City>
    <b:Publisher>Biblioteca Nacional del Perú N° 2014-10207</b:Publisher>
    <b:Author>
      <b:Author>
        <b:NameList>
          <b:Person>
            <b:Last>Ministerio de Comercio Exterior y Turismo</b:Last>
          </b:Person>
        </b:NameList>
      </b:Author>
    </b:Author>
    <b:RefOrder>98</b:RefOrder>
  </b:Source>
  <b:Source>
    <b:Tag>Bes07</b:Tag>
    <b:SourceType>BookSection</b:SourceType>
    <b:Guid>{5E50382C-70C1-42C5-9C94-B00797E8383C}</b:Guid>
    <b:BookTitle>Marketing estratégico 4.a edición</b:BookTitle>
    <b:Year>2007</b:Year>
    <b:City>Madrid</b:City>
    <b:Publisher>Pearson Educación</b:Publisher>
    <b:Author>
      <b:Author>
        <b:NameList>
          <b:Person>
            <b:Last>Best</b:Last>
            <b:First>R.</b:First>
          </b:Person>
        </b:NameList>
      </b:Author>
    </b:Author>
    <b:RefOrder>99</b:RefOrder>
  </b:Source>
  <b:Source>
    <b:Tag>Tel02</b:Tag>
    <b:SourceType>BookSection</b:SourceType>
    <b:Guid>{ED154588-D593-4437-BE92-5AD31B345EA0}</b:Guid>
    <b:BookTitle>Estrategias de publicidad y promoción</b:BookTitle>
    <b:Year>2002</b:Year>
    <b:City>Madrid</b:City>
    <b:Publisher>Pearson Eduación.</b:Publisher>
    <b:Author>
      <b:Author>
        <b:NameList>
          <b:Person>
            <b:Last>Tellis</b:Last>
            <b:First>G.</b:First>
          </b:Person>
          <b:Person>
            <b:Last>Redondo</b:Last>
            <b:First>I.</b:First>
          </b:Person>
        </b:NameList>
      </b:Author>
    </b:Author>
    <b:RefOrder>100</b:RefOrder>
  </b:Source>
  <b:Source>
    <b:Tag>Tel021</b:Tag>
    <b:SourceType>BookSection</b:SourceType>
    <b:Guid>{F4744EF2-D22C-4236-9E98-75C32EB755B7}</b:Guid>
    <b:BookTitle>Estrategias de publicidad y promoción</b:BookTitle>
    <b:Year>2002</b:Year>
    <b:City>Madrid</b:City>
    <b:Publisher>Pearson Eduación.</b:Publisher>
    <b:Author>
      <b:Author>
        <b:NameList>
          <b:Person>
            <b:Last>Tellis</b:Last>
            <b:First>G.</b:First>
          </b:Person>
          <b:Person>
            <b:Last>Redondo</b:Last>
            <b:First>I.</b:First>
          </b:Person>
        </b:NameList>
      </b:Author>
    </b:Author>
    <b:RefOrder>101</b:RefOrder>
  </b:Source>
  <b:Source>
    <b:Tag>Ful18</b:Tag>
    <b:SourceType>BookSection</b:SourceType>
    <b:Guid>{341BEDCD-7439-4260-902E-484F18A847E6}</b:Guid>
    <b:BookTitle>Negociación Internacional</b:BookTitle>
    <b:Year>2018</b:Year>
    <b:City>Madrid</b:City>
    <b:Publisher>Paraninfo</b:Publisher>
    <b:Author>
      <b:Author>
        <b:NameList>
          <b:Person>
            <b:Last>Fulgencio</b:Last>
            <b:First>J.</b:First>
          </b:Person>
        </b:NameList>
      </b:Author>
    </b:Author>
    <b:RefOrder>102</b:RefOrder>
  </b:Source>
  <b:Source>
    <b:Tag>Bes071</b:Tag>
    <b:SourceType>BookSection</b:SourceType>
    <b:Guid>{5E8A0F69-0AFE-4F29-AB7B-750E8961D556}</b:Guid>
    <b:BookTitle>Marketing estratégico 4.a edición</b:BookTitle>
    <b:Year>2007</b:Year>
    <b:City>Madrid</b:City>
    <b:Publisher>Pearson Educación</b:Publisher>
    <b:Author>
      <b:Author>
        <b:NameList>
          <b:Person>
            <b:Last>Best</b:Last>
            <b:First>R.</b:First>
          </b:Person>
        </b:NameList>
      </b:Author>
    </b:Author>
    <b:RefOrder>103</b:RefOrder>
  </b:Source>
  <b:Source>
    <b:Tag>Ker09</b:Tag>
    <b:SourceType>Book</b:SourceType>
    <b:Guid>{02896D22-23EB-4D9C-918F-1E0A501BA18C}</b:Guid>
    <b:Title>Marketing 9th Edition</b:Title>
    <b:Year>2009</b:Year>
    <b:City>USA</b:City>
    <b:Publisher>McGraw Hill</b:Publisher>
    <b:Author>
      <b:Author>
        <b:NameList>
          <b:Person>
            <b:Last>Kerin</b:Last>
            <b:First>R</b:First>
          </b:Person>
          <b:Person>
            <b:Last>Hartley</b:Last>
            <b:First>S</b:First>
          </b:Person>
          <b:Person>
            <b:Last>Rudelius</b:Last>
            <b:First>W</b:First>
          </b:Person>
        </b:NameList>
      </b:Author>
    </b:Author>
    <b:DOI>9780077303303</b:DOI>
    <b:RefOrder>104</b:RefOrder>
  </b:Source>
  <b:Source>
    <b:Tag>Gui98</b:Tag>
    <b:SourceType>Book</b:SourceType>
    <b:Guid>{86138821-04FC-4F9E-B621-52592BB86C77}</b:Guid>
    <b:Title>Guía para implantar la Norma ISO 9000: para empresas de todos tipos y tamaños</b:Title>
    <b:Year>1998</b:Year>
    <b:City>México D.F</b:City>
    <b:Publisher>McGraw-Hill</b:Publisher>
    <b:Author>
      <b:Author>
        <b:NameList>
          <b:Person>
            <b:Last>Guevara</b:Last>
            <b:First>Guillermo</b:First>
            <b:Middle>Tabla</b:Middle>
          </b:Person>
        </b:NameList>
      </b:Author>
    </b:Author>
    <b:RefOrder>105</b:RefOrder>
  </b:Source>
  <b:Source>
    <b:Tag>MarcadorDePosición7</b:Tag>
    <b:SourceType>BookSection</b:SourceType>
    <b:Guid>{1E603D56-499D-47F1-9898-02BE6C6B55C0}</b:Guid>
    <b:BookTitle>Metodología de la Investigación (Sexta ed.)</b:BookTitle>
    <b:Year>2014</b:Year>
    <b:City>Ciudad de México, México</b:City>
    <b:Publisher>McGraw-Hill/Interamericana Editores. S.A. DE C.V. ISBN 13: 9781456223960</b:Publisher>
    <b:Author>
      <b:Author>
        <b:NameList>
          <b:Person>
            <b:Last>Hernández</b:Last>
            <b:First>R.</b:First>
          </b:Person>
          <b:Person>
            <b:Last>Fernández</b:Last>
            <b:First>C.</b:First>
          </b:Person>
          <b:Person>
            <b:Last>Baptista</b:Last>
            <b:First>P.</b:First>
          </b:Person>
        </b:NameList>
      </b:Author>
    </b:Author>
    <b:RefOrder>106</b:RefOrder>
  </b:Source>
  <b:Source>
    <b:Tag>Hur10</b:Tag>
    <b:SourceType>BookSection</b:SourceType>
    <b:Guid>{61AE004E-B910-4C9A-ACFF-443D536CE728}</b:Guid>
    <b:BookTitle>Metodología de la Investigación Holística</b:BookTitle>
    <b:Year>2010</b:Year>
    <b:City>Caracas, Venezuela</b:City>
    <b:Publisher>Fundación Sypal. ISBN: 9806306066</b:Publisher>
    <b:Author>
      <b:Author>
        <b:NameList>
          <b:Person>
            <b:Last>Hurtado</b:Last>
            <b:First>J.</b:First>
          </b:Person>
        </b:NameList>
      </b:Author>
    </b:Author>
    <b:RefOrder>107</b:RefOrder>
  </b:Source>
  <b:Source>
    <b:Tag>Ber103</b:Tag>
    <b:SourceType>BookSection</b:SourceType>
    <b:Guid>{90FC8CB7-AF93-4059-9661-0DC92B0AC1F3}</b:Guid>
    <b:BookTitle>Metodología de la investigación: administración economía, humanidades y ciencias sociales.</b:BookTitle>
    <b:Year>2010</b:Year>
    <b:City>Tercera edición. Colombia</b:City>
    <b:Publisher>Pearson Educación</b:Publisher>
    <b:Author>
      <b:Author>
        <b:NameList>
          <b:Person>
            <b:Last>Bernal</b:Last>
            <b:First>C.</b:First>
          </b:Person>
        </b:NameList>
      </b:Author>
    </b:Author>
    <b:RefOrder>108</b:RefOrder>
  </b:Source>
  <b:Source>
    <b:Tag>Foo</b:Tag>
    <b:SourceType>InternetSite</b:SourceType>
    <b:Guid>{4F440201-A1E1-4099-A27C-A42E4B6F6AFB}</b:Guid>
    <b:Author>
      <b:Author>
        <b:Corporate>Food and Agriculture Organization of the United Nations</b:Corporate>
      </b:Author>
    </b:Author>
    <b:Title>FAO.ORG</b:Title>
    <b:InternetSiteTitle>FAO.ORG</b:InternetSiteTitle>
    <b:Year>2013</b:Year>
    <b:URL>https://www.caroube.net/es/articulo/61-produccion-mundial-algarrobas</b:URL>
    <b:RefOrder>109</b:RefOrder>
  </b:Source>
  <b:Source>
    <b:Tag>MarcadorDePosición8</b:Tag>
    <b:SourceType>InternetSite</b:SourceType>
    <b:Guid>{8552439A-38E9-4028-A81F-5E473A0F8565}</b:Guid>
    <b:Title>La Organización de las Naciones Unidas para la Educación, la Ciencia y la Cultura</b:Title>
    <b:Year>2020</b:Year>
    <b:Author>
      <b:Author>
        <b:NameList>
          <b:Person>
            <b:Last>UNESCO</b:Last>
          </b:Person>
        </b:NameList>
      </b:Author>
    </b:Author>
    <b:InternetSiteTitle>La Organización de las Naciones Unidas para la Educación, la Ciencia y la Cultura</b:InternetSiteTitle>
    <b:Month>10</b:Month>
    <b:Day>30</b:Day>
    <b:URL>https://es.unesco.org/</b:URL>
    <b:RefOrder>110</b:RefOrder>
  </b:Source>
  <b:Source>
    <b:Tag>Qui20</b:Tag>
    <b:SourceType>JournalArticle</b:SourceType>
    <b:Guid>{2AB02FA7-E525-44F3-8EA0-291DE9AE87DF}</b:Guid>
    <b:Author>
      <b:Author>
        <b:NameList>
          <b:Person>
            <b:Last>Quintero</b:Last>
            <b:First>L</b:First>
          </b:Person>
        </b:NameList>
      </b:Author>
    </b:Author>
    <b:Title>Rol y pertinencia en universidades del Ecuador en la actividad de vinculación con la sociedad</b:Title>
    <b:JournalName>Maestro y Sociedad</b:JournalName>
    <b:Year>2020</b:Year>
    <b:Pages>437 - 457</b:Pages>
    <b:Volume>17</b:Volume>
    <b:Issue>3</b:Issue>
    <b:RefOrder>111</b:RefOrder>
  </b:Source>
  <b:Source>
    <b:Tag>Alf04</b:Tag>
    <b:SourceType>JournalArticle</b:SourceType>
    <b:Guid>{9E2A1E9B-0E14-492B-8188-1631118EA458}</b:Guid>
    <b:Author>
      <b:Author>
        <b:NameList>
          <b:Person>
            <b:Last>Alfarez</b:Last>
            <b:First>A</b:First>
          </b:Person>
        </b:NameList>
      </b:Author>
    </b:Author>
    <b:Title>Bibliometric study on food science and technology: Scientific production in Iberian-American countries (1991-2000</b:Title>
    <b:JournalName>Scientometrics</b:JournalName>
    <b:Year>2004</b:Year>
    <b:Pages>56 - 62</b:Pages>
    <b:Volume>61</b:Volume>
    <b:Issue>1</b:Issue>
    <b:RefOrder>112</b:RefOrder>
  </b:Source>
  <b:Source>
    <b:Tag>Góm05</b:Tag>
    <b:SourceType>JournalArticle</b:SourceType>
    <b:Guid>{B3D656D7-9728-4B30-8999-B933F3D50F55}</b:Guid>
    <b:Title>Indicadores bibliométricos: origen, aplicación, contradicción y nuevas propuestas</b:Title>
    <b:JournalName>MedUNAB</b:JournalName>
    <b:Year>2005</b:Year>
    <b:Pages>29 - 36</b:Pages>
    <b:Author>
      <b:Author>
        <b:NameList>
          <b:Person>
            <b:Last>Gómez</b:Last>
            <b:First>C</b:First>
          </b:Person>
        </b:NameList>
      </b:Author>
    </b:Author>
    <b:Volume>8</b:Volume>
    <b:Issue>1</b:Issue>
    <b:RefOrder>113</b:RefOrder>
  </b:Source>
  <b:Source>
    <b:Tag>Paz20</b:Tag>
    <b:SourceType>JournalArticle</b:SourceType>
    <b:Guid>{A5016836-93D9-4BF6-9224-5A3A0E5AF58E}</b:Guid>
    <b:Author>
      <b:Author>
        <b:NameList>
          <b:Person>
            <b:Last>Paz</b:Last>
            <b:First>M</b:First>
          </b:Person>
          <b:Person>
            <b:Last>Avecillas</b:Last>
            <b:First>E</b:First>
          </b:Person>
        </b:NameList>
      </b:Author>
    </b:Author>
    <b:Title>Análisis bibliométrico de la interacción profesor-alumno a través de las plataformas virtuales</b:Title>
    <b:JournalName>Espíritu Emprendedor TES</b:JournalName>
    <b:Year>2020</b:Year>
    <b:Pages>42 - 65</b:Pages>
    <b:Volume>4</b:Volume>
    <b:Issue>4</b:Issue>
    <b:RefOrder>114</b:RefOrder>
  </b:Source>
  <b:Source>
    <b:Tag>Jim</b:Tag>
    <b:SourceType>Report</b:SourceType>
    <b:Guid>{B7C6E18E-4802-4EDF-BF92-AF0FFB5DD48E}</b:Guid>
    <b:Author>
      <b:Author>
        <b:NameList>
          <b:Person>
            <b:Last>Jiménez</b:Last>
            <b:First>C</b:First>
          </b:Person>
        </b:NameList>
      </b:Author>
    </b:Author>
    <b:Title>Bases para un concepto de las “metríasBases para un concepto de las “metrías</b:Title>
    <b:Year>2005</b:Year>
    <b:Publisher>Universidad de Granada</b:Publisher>
    <b:City>España</b:City>
    <b:URL>http://www.ugr.es/~rruizb/cognosfera/sala_de_estudio/bibliometria/las_metrias.DOC</b:URL>
    <b:RefOrder>115</b:RefOrder>
  </b:Source>
  <b:Source>
    <b:Tag>Wea00</b:Tag>
    <b:SourceType>JournalArticle</b:SourceType>
    <b:Guid>{D6F71974-1530-4B43-802F-3A54CE84E392}</b:Guid>
    <b:Author>
      <b:Author>
        <b:NameList>
          <b:Person>
            <b:Last>Weale</b:Last>
            <b:First>A</b:First>
          </b:Person>
        </b:NameList>
      </b:Author>
    </b:Author>
    <b:Title>The level of non-citation of articles within a journal as a measure of quality: a comparison to the impact factor</b:Title>
    <b:JournalName>BMC Med Res Methodol</b:JournalName>
    <b:Year>2000</b:Year>
    <b:Pages>35 - 45</b:Pages>
    <b:Volume>4</b:Volume>
    <b:Issue>14</b:Issue>
    <b:RefOrder>116</b:RefOrder>
  </b:Source>
  <b:Source>
    <b:Tag>Met20</b:Tag>
    <b:SourceType>JournalArticle</b:SourceType>
    <b:Guid>{C2A3E129-B6FD-408E-B460-8AD2AE08045B}</b:Guid>
    <b:Title>La tecnología 5G, una mirada desde la calidad asistencial</b:Title>
    <b:Year>2020</b:Year>
    <b:Author>
      <b:Author>
        <b:NameList>
          <b:Person>
            <b:Last>Metro</b:Last>
            <b:First>S</b:First>
          </b:Person>
        </b:NameList>
      </b:Author>
    </b:Author>
    <b:JournalName>Journal of Healthcare Quality Research</b:JournalName>
    <b:Pages>269 - 271</b:Pages>
    <b:Volume>35</b:Volume>
    <b:Issue>5</b:Issue>
    <b:RefOrder>117</b:RefOrder>
  </b:Source>
  <b:Source>
    <b:Tag>Ner07</b:Tag>
    <b:SourceType>Book</b:SourceType>
    <b:Guid>{89BC656F-C1C3-4178-8FE8-86AA9DE43773}</b:Guid>
    <b:Title>Introducao a Biblioteconomia</b:Title>
    <b:Year>2007</b:Year>
    <b:Publisher>Briquet de Lemos</b:Publisher>
    <b:City>Río de Janeiro</b:City>
    <b:Author>
      <b:Author>
        <b:NameList>
          <b:Person>
            <b:Last>Nery</b:Last>
            <b:First>F</b:First>
          </b:Person>
        </b:NameList>
      </b:Author>
    </b:Author>
    <b:Volume>2</b:Volume>
    <b:RefOrder>118</b:RefOrder>
  </b:Source>
  <b:Source>
    <b:Tag>Ote04</b:Tag>
    <b:SourceType>JournalArticle</b:SourceType>
    <b:Guid>{A44EC49E-408D-4179-A433-5855BB1C2F7C}</b:Guid>
    <b:Author>
      <b:Author>
        <b:NameList>
          <b:Person>
            <b:Last>Otero</b:Last>
            <b:First>P</b:First>
          </b:Person>
        </b:NameList>
      </b:Author>
    </b:Author>
    <b:Title>Evolution of medical informatics in bibliographic</b:Title>
    <b:JournalName>Medinfo</b:JournalName>
    <b:Year>2004</b:Year>
    <b:Pages>301 - 305</b:Pages>
    <b:Volume>11</b:Volume>
    <b:Issue>1</b:Issue>
    <b:RefOrder>119</b:RefOrder>
  </b:Source>
  <b:Source>
    <b:Tag>Bal16</b:Tag>
    <b:SourceType>Book</b:SourceType>
    <b:Guid>{68648CA3-7D89-4994-9795-9153EEC415F1}</b:Guid>
    <b:Author>
      <b:Author>
        <b:NameList>
          <b:Person>
            <b:Last>Balzarini</b:Last>
            <b:First>M</b:First>
          </b:Person>
          <b:Person>
            <b:Last>Bruno</b:Last>
            <b:First>L</b:First>
          </b:Person>
          <b:Person>
            <b:Last>Walter</b:Last>
            <b:First>C</b:First>
          </b:Person>
        </b:NameList>
      </b:Author>
    </b:Author>
    <b:Title>Estadística y Biometría</b:Title>
    <b:Year>2016</b:Year>
    <b:City>Buenos Aires</b:City>
    <b:Publisher>Brujas</b:Publisher>
    <b:Volume>2</b:Volume>
    <b:RefOrder>120</b:RefOrder>
  </b:Source>
  <b:Source>
    <b:Tag>Ávi18</b:Tag>
    <b:SourceType>Book</b:SourceType>
    <b:Guid>{CB8D09D0-DB02-49E0-A7D4-6DCEB0760DCD}</b:Guid>
    <b:Title>Cienciometría y bibliometría. El estudio de la producción científica Métodos, enfoques y aplicaciones en el estudio de las Ciencias Sociales</b:Title>
    <b:Year>2018</b:Year>
    <b:Author>
      <b:Author>
        <b:NameList>
          <b:Person>
            <b:Last>Ávila</b:Last>
            <b:First>T</b:First>
          </b:Person>
        </b:NameList>
      </b:Author>
    </b:Author>
    <b:City>Colombia</b:City>
    <b:Publisher>Corporación Universitaria Reformada</b:Publisher>
    <b:RefOrder>121</b:RefOrder>
  </b:Source>
  <b:Source>
    <b:Tag>Gón16</b:Tag>
    <b:SourceType>Book</b:SourceType>
    <b:Guid>{DF13435D-855C-4B9B-A697-064A8A875BD5}</b:Guid>
    <b:Author>
      <b:Author>
        <b:NameList>
          <b:Person>
            <b:Last>Gónzalez</b:Last>
            <b:First>G</b:First>
          </b:Person>
        </b:NameList>
      </b:Author>
    </b:Author>
    <b:Title>Bibliometría</b:Title>
    <b:Year>2016</b:Year>
    <b:City>Valencia</b:City>
    <b:Publisher>Nau Libres</b:Publisher>
    <b:RefOrder>122</b:RefOrder>
  </b:Source>
  <b:Source>
    <b:Tag>Raa03</b:Tag>
    <b:SourceType>JournalArticle</b:SourceType>
    <b:Guid>{606BA1F0-4E69-4426-B31F-FE40CF5FC8E8}</b:Guid>
    <b:Title>The use of bibliometric analysis in research performance assessment and monitoring developments</b:Title>
    <b:Year>2003</b:Year>
    <b:Author>
      <b:Author>
        <b:NameList>
          <b:Person>
            <b:Last>Raan</b:Last>
            <b:First>A</b:First>
          </b:Person>
        </b:NameList>
      </b:Author>
    </b:Author>
    <b:JournalName>Technikfolgenabschätzung</b:JournalName>
    <b:Pages>20 -29</b:Pages>
    <b:Volume>1</b:Volume>
    <b:Issue>12</b:Issue>
    <b:RefOrder>123</b:RefOrder>
  </b:Source>
  <b:Source>
    <b:Tag>His05</b:Tag>
    <b:SourceType>JournalArticle</b:SourceType>
    <b:Guid>{F900EF03-6A1B-45AD-B9BE-5BE41F6C9B0F}</b:Guid>
    <b:Author>
      <b:Author>
        <b:NameList>
          <b:Person>
            <b:Last>Hisrch</b:Last>
            <b:First>J</b:First>
          </b:Person>
        </b:NameList>
      </b:Author>
    </b:Author>
    <b:Title>An index to quantify an individual's scientific research output</b:Title>
    <b:JournalName>Proceedings of the National Academy of Sciences of the United States of America</b:JournalName>
    <b:Year>2005</b:Year>
    <b:Pages>16569 - 15572.</b:Pages>
    <b:Volume>102</b:Volume>
    <b:Issue>46</b:Issue>
    <b:RefOrder>124</b:RefOrder>
  </b:Source>
  <b:Source>
    <b:Tag>Are15</b:Tag>
    <b:SourceType>JournalArticle</b:SourceType>
    <b:Guid>{E5A54A11-6025-4C01-A386-09E7F939BB4A}</b:Guid>
    <b:Author>
      <b:Author>
        <b:NameList>
          <b:Person>
            <b:Last>Arenas</b:Last>
            <b:First>X</b:First>
          </b:Person>
        </b:NameList>
      </b:Author>
    </b:Author>
    <b:Title>Indicadores de la</b:Title>
    <b:JournalName>Ciencias de la Información</b:JournalName>
    <b:Year>2015</b:Year>
    <b:Pages>2 - 6</b:Pages>
    <b:Volume>24</b:Volume>
    <b:Issue>1</b:Issue>
    <b:RefOrder>125</b:RefOrder>
  </b:Source>
  <b:Source>
    <b:Tag>Ara02</b:Tag>
    <b:SourceType>JournalArticle</b:SourceType>
    <b:Guid>{5F26D6F0-195F-40CB-9EB8-DAF6F6750000}</b:Guid>
    <b:Author>
      <b:Author>
        <b:NameList>
          <b:Person>
            <b:Last>Araújo</b:Last>
            <b:First>A</b:First>
          </b:Person>
        </b:NameList>
      </b:Author>
    </b:Author>
    <b:Title>Informetría, bibliometría y cienciometría : aspectos</b:Title>
    <b:JournalName>ACIMED</b:JournalName>
    <b:Year>2002</b:Year>
    <b:Pages>46 - 50</b:Pages>
    <b:Volume>10</b:Volume>
    <b:Issue>4</b:Issue>
    <b:RefOrder>126</b:RefOrder>
  </b:Source>
  <b:Source>
    <b:Tag>Van03</b:Tag>
    <b:SourceType>JournalArticle</b:SourceType>
    <b:Guid>{75ED17AB-668F-467C-B62F-B6EBDDA7A0C8}</b:Guid>
    <b:Author>
      <b:Author>
        <b:NameList>
          <b:Person>
            <b:Last>Van-Rann</b:Last>
            <b:First>A</b:First>
          </b:Person>
        </b:NameList>
      </b:Author>
    </b:Author>
    <b:Title>The use of bibliometric analysis in research performance assessment and monitoring of interdisciplinary</b:Title>
    <b:JournalName>Technology Assessment - Theory and Practice</b:JournalName>
    <b:Year>2003</b:Year>
    <b:Pages>20 -29</b:Pages>
    <b:Volume>1</b:Volume>
    <b:Issue>12</b:Issue>
    <b:RefOrder>127</b:RefOrder>
  </b:Source>
  <b:Source>
    <b:Tag>Zbi01</b:Tag>
    <b:SourceType>JournalArticle</b:SourceType>
    <b:Guid>{F25FB7BF-A6DC-4A0F-88FF-A8477D6EC936}</b:Guid>
    <b:Title>Karl Heinrich Frömmichen (1736-1783) and Adrian Balbi (1782-1848) - The Pioneers of Biblio- and Scientometrics</b:Title>
    <b:Year>2001</b:Year>
    <b:Author>
      <b:Author>
        <b:NameList>
          <b:Person>
            <b:Last>Zbikowska</b:Last>
            <b:First>M</b:First>
          </b:Person>
        </b:NameList>
      </b:Author>
    </b:Author>
    <b:JournalName>Scientometrics</b:JournalName>
    <b:Pages>225-233</b:Pages>
    <b:Volume>52</b:Volume>
    <b:Issue>2</b:Issue>
    <b:DOI>10.1023 / A: 1017963706595</b:DOI>
    <b:RefOrder>128</b:RefOrder>
  </b:Source>
  <b:Source>
    <b:Tag>Dáv09</b:Tag>
    <b:SourceType>JournalArticle</b:SourceType>
    <b:Guid>{F03B072E-7E81-4533-B5B4-79599E911C93}</b:Guid>
    <b:Title>Bibliometría: conceptos y utilidades para el</b:Title>
    <b:Year>2009</b:Year>
    <b:Author>
      <b:Author>
        <b:NameList>
          <b:Person>
            <b:Last>Dávila</b:Last>
            <b:First>M</b:First>
          </b:Person>
          <b:Person>
            <b:Last>Macareno</b:Last>
            <b:First>H</b:First>
          </b:Person>
          <b:Person>
            <b:Last>Barranco</b:Last>
            <b:First>R</b:First>
          </b:Person>
        </b:NameList>
      </b:Author>
    </b:Author>
    <b:JournalName>Saluduninorte</b:JournalName>
    <b:Pages>319 - 330</b:Pages>
    <b:Volume>25</b:Volume>
    <b:Issue>2</b:Issue>
    <b:RefOrder>129</b:RefOrder>
  </b:Source>
  <b:Source>
    <b:Tag>Alm03</b:Tag>
    <b:SourceType>JournalArticle</b:SourceType>
    <b:Guid>{47C53585-DFA0-44BF-9B10-4E29EDF42635}</b:Guid>
    <b:Author>
      <b:Author>
        <b:NameList>
          <b:Person>
            <b:Last>Almeida</b:Last>
            <b:First>F</b:First>
          </b:Person>
        </b:NameList>
      </b:Author>
    </b:Author>
    <b:Title>Research on health inequalities in Latin America and the Caribbean: bibliometric analysis (1971-2000) and descriptive content analysis (1971-1995)</b:Title>
    <b:JournalName>American Journal of Public Health, Washington</b:JournalName>
    <b:Year>2003</b:Year>
    <b:Pages>234 - 255</b:Pages>
    <b:Volume>93</b:Volume>
    <b:Issue>12</b:Issue>
    <b:RefOrder>130</b:RefOrder>
  </b:Source>
  <b:Source>
    <b:Tag>Bjo02</b:Tag>
    <b:SourceType>JournalArticle</b:SourceType>
    <b:Guid>{E8A6CB0D-06FA-4D9D-91CE-E57F1F2D00B7}</b:Guid>
    <b:Author>
      <b:Author>
        <b:NameList>
          <b:Person>
            <b:Last>Bjorneborn</b:Last>
            <b:First>L</b:First>
          </b:Person>
        </b:NameList>
      </b:Author>
    </b:Author>
    <b:Title>Perspective of webometrics</b:Title>
    <b:JournalName>Scientometrics</b:JournalName>
    <b:Year>2002</b:Year>
    <b:Pages>24 - 35</b:Pages>
    <b:Volume>52</b:Volume>
    <b:Issue>3</b:Issue>
    <b:RefOrder>131</b:RefOrder>
  </b:Source>
  <b:Source>
    <b:Tag>Wag05</b:Tag>
    <b:SourceType>JournalArticle</b:SourceType>
    <b:Guid>{C2D86FD8-2E34-4E20-A5D6-E22D5D5859AE}</b:Guid>
    <b:Author>
      <b:Author>
        <b:NameList>
          <b:Person>
            <b:Last>Wagner</b:Last>
            <b:First>C</b:First>
          </b:Person>
        </b:NameList>
      </b:Author>
    </b:Author>
    <b:Title>Network structure, self-organization, and the growth of international collaboration in science</b:Title>
    <b:JournalName>Research Policy</b:JournalName>
    <b:Year>2005</b:Year>
    <b:Pages>45 - 55</b:Pages>
    <b:Volume>34</b:Volume>
    <b:Issue>10</b:Issue>
    <b:RefOrder>132</b:RefOrder>
  </b:Source>
  <b:Source>
    <b:Tag>Smi08</b:Tag>
    <b:SourceType>JournalArticle</b:SourceType>
    <b:Guid>{EC2EBC15-657D-4530-B508-7D0599180613}</b:Guid>
    <b:Author>
      <b:Author>
        <b:NameList>
          <b:Person>
            <b:Last>Smith</b:Last>
            <b:First>D</b:First>
          </b:Person>
        </b:NameList>
      </b:Author>
    </b:Author>
    <b:Title>Bibliometrics, citation indexing, and the journal of nursing</b:Title>
    <b:JournalName>Nursing and Health Sciences</b:JournalName>
    <b:Year>2008</b:Year>
    <b:Pages>260 - 265</b:Pages>
    <b:Volume>10</b:Volume>
    <b:RefOrder>133</b:RefOrder>
  </b:Source>
  <b:Source>
    <b:Tag>Ard12</b:Tag>
    <b:SourceType>Book</b:SourceType>
    <b:Guid>{03F60117-AEC6-46D7-9553-32E4B2A10482}</b:Guid>
    <b:Author>
      <b:Author>
        <b:NameList>
          <b:Person>
            <b:Last>Ardanuy</b:Last>
            <b:First>J</b:First>
          </b:Person>
        </b:NameList>
      </b:Author>
    </b:Author>
    <b:Title>Breve introducción a la Bibliometría</b:Title>
    <b:Year>2012</b:Year>
    <b:City>Barcelona</b:City>
    <b:Publisher>Universitat de Barcelona</b:Publisher>
    <b:RefOrder>134</b:RefOrder>
  </b:Source>
  <b:Source>
    <b:Tag>Pér03</b:Tag>
    <b:SourceType>Report</b:SourceType>
    <b:Guid>{2AF0511E-B3A3-4175-816E-85A3C9DAB144}</b:Guid>
    <b:Title>Análisis bibliométrico en Educación</b:Title>
    <b:Year>2003</b:Year>
    <b:City>España</b:City>
    <b:Publisher>Ministerio de Educación y Ciencia de España</b:Publisher>
    <b:Pages>45 - 50</b:Pages>
    <b:Author>
      <b:Author>
        <b:NameList>
          <b:Person>
            <b:Last>Pérez</b:Last>
            <b:First>G</b:First>
          </b:Person>
          <b:Person>
            <b:Last>Anta</b:Last>
            <b:First>C</b:First>
          </b:Person>
          <b:Person>
            <b:Last>Badera</b:Last>
            <b:First>S</b:First>
          </b:Person>
        </b:NameList>
      </b:Author>
    </b:Author>
    <b:JournalName>Incidencia en la calidad universitaria</b:JournalName>
    <b:RefOrder>135</b:RefOrder>
  </b:Source>
  <b:Source>
    <b:Tag>Gon97</b:Tag>
    <b:SourceType>JournalArticle</b:SourceType>
    <b:Guid>{B63DDB33-EE1F-457F-82A0-F4361A89479F}</b:Guid>
    <b:Title>Teoría de la ciencia, documentación y bibliometría</b:Title>
    <b:Year>1997</b:Year>
    <b:Author>
      <b:Author>
        <b:NameList>
          <b:Person>
            <b:Last>González</b:Last>
            <b:First>L</b:First>
          </b:Person>
        </b:NameList>
      </b:Author>
    </b:Author>
    <b:JournalName>RcWstn General de tnforrnación y Docunientación</b:JournalName>
    <b:Pages>45 - 55</b:Pages>
    <b:Volume>7</b:Volume>
    <b:Issue>2</b:Issue>
    <b:RefOrder>136</b:RefOrder>
  </b:Source>
  <b:Source>
    <b:Tag>Cal95</b:Tag>
    <b:SourceType>Book</b:SourceType>
    <b:Guid>{885AA414-0D9C-46FB-A2D0-0A18602A09EE}</b:Guid>
    <b:Author>
      <b:Author>
        <b:NameList>
          <b:Person>
            <b:Last>Callon</b:Last>
            <b:First>M</b:First>
          </b:Person>
        </b:NameList>
      </b:Author>
    </b:Author>
    <b:Title>Cienciometría: El estudio cuantitativo de la actividad científica: de la bibliometría a la vigilancia tecnológica</b:Title>
    <b:Year>1995</b:Year>
    <b:City>Madrid</b:City>
    <b:RefOrder>137</b:RefOrder>
  </b:Source>
  <b:Source>
    <b:Tag>Tur17</b:Tag>
    <b:SourceType>Book</b:SourceType>
    <b:Guid>{C71E93C4-707A-46FC-A817-C08F4EE32DDC}</b:Guid>
    <b:Author>
      <b:Author>
        <b:NameList>
          <b:Person>
            <b:Last>Turbanti</b:Last>
            <b:First>S</b:First>
          </b:Person>
        </b:NameList>
      </b:Author>
    </b:Author>
    <b:Title>Bibliometria e scienze del libro: internazionalizzazione e vitalità degli studi italiani</b:Title>
    <b:Year>2017</b:Year>
    <b:RefOrder>138</b:RefOrder>
  </b:Source>
  <b:Source>
    <b:Tag>MarcadorDePosición9</b:Tag>
    <b:SourceType>Book</b:SourceType>
    <b:Guid>{32222096-EAB0-48CC-9388-50E133EDEB42}</b:Guid>
    <b:Author>
      <b:Author>
        <b:NameList>
          <b:Person>
            <b:Last>López</b:Last>
            <b:First>J</b:First>
          </b:Person>
          <b:Person>
            <b:Last>Torres</b:Last>
            <b:First>C</b:First>
          </b:Person>
          <b:Person>
            <b:Last>Ávila</b:Last>
            <b:First>F</b:First>
          </b:Person>
        </b:NameList>
      </b:Author>
    </b:Author>
    <b:Title>Bibliometría E Infometría</b:Title>
    <b:Year>2011</b:Year>
    <b:City>Cartagena</b:City>
    <b:Publisher>UniCartagena</b:Publisher>
    <b:RefOrder>139</b:RefOrder>
  </b:Source>
  <b:Source>
    <b:Tag>Laf10</b:Tag>
    <b:SourceType>Book</b:SourceType>
    <b:Guid>{76E56AD9-4DAD-4328-87F1-DFE1C6876B99}</b:Guid>
    <b:Author>
      <b:Author>
        <b:NameList>
          <b:Person>
            <b:Last>Lafouge</b:Last>
            <b:First>T</b:First>
          </b:Person>
          <b:Person>
            <b:Last>Francois</b:Last>
            <b:First>Y</b:First>
          </b:Person>
          <b:Person>
            <b:Last>Coadic</b:Last>
            <b:First>L</b:First>
          </b:Person>
        </b:NameList>
      </b:Author>
    </b:Author>
    <b:Title>Elementos de estadística y de matemática de la información : infometría, bibliometría, mediametría, cienciometría, museometría, webmetría</b:Title>
    <b:Year>2010</b:Year>
    <b:City>Cataluña</b:City>
    <b:Publisher>Universitat Oberta de Catalunya</b:Publisher>
    <b:RefOrder>140</b:RefOrder>
  </b:Source>
  <b:Source>
    <b:Tag>OBI20</b:Tag>
    <b:SourceType>DocumentFromInternetSite</b:SourceType>
    <b:Guid>{AC6E10F5-9678-49EC-AB3A-3D53D0561979}</b:Guid>
    <b:Title>Observatorio de Bibliometría e Información Científica</b:Title>
    <b:Year>2020</b:Year>
    <b:Author>
      <b:Author>
        <b:NameList>
          <b:Person>
            <b:Last>OBIC</b:Last>
          </b:Person>
        </b:NameList>
      </b:Author>
    </b:Author>
    <b:InternetSiteTitle>Observatorio de Bibliometría e Información Científica</b:InternetSiteTitle>
    <b:Month>11</b:Month>
    <b:Day>04</b:Day>
    <b:URL>https://obic.usal.es/bibliometria</b:URL>
    <b:RefOrder>141</b:RefOrder>
  </b:Source>
  <b:Source>
    <b:Tag>Hoo01</b:Tag>
    <b:SourceType>JournalArticle</b:SourceType>
    <b:Guid>{207C40B2-5DF5-4FB9-8AD3-DAC38A1CABDB}</b:Guid>
    <b:Title>The literature of bibliometrics, scientometrics, and informetrics</b:Title>
    <b:Year>2001</b:Year>
    <b:Author>
      <b:Author>
        <b:NameList>
          <b:Person>
            <b:Last>Hood</b:Last>
            <b:First>W</b:First>
          </b:Person>
        </b:NameList>
      </b:Author>
    </b:Author>
    <b:JournalName>Scientometrics</b:JournalName>
    <b:Pages>291 - 314</b:Pages>
    <b:Volume>52</b:Volume>
    <b:Issue>2</b:Issue>
    <b:RefOrder>142</b:RefOrder>
  </b:Source>
  <b:Source>
    <b:Tag>Syl99</b:Tag>
    <b:SourceType>DocumentFromInternetSite</b:SourceType>
    <b:Guid>{2C0351DF-8880-439C-BBB9-994E4A9ABA5D}</b:Guid>
    <b:Title>Bibliometric Indicators and the Social Sciences</b:Title>
    <b:Year>1999</b:Year>
    <b:Author>
      <b:Author>
        <b:NameList>
          <b:Person>
            <b:Last>Sylvan</b:Last>
            <b:First>K</b:First>
          </b:Person>
        </b:NameList>
      </b:Author>
    </b:Author>
    <b:InternetSiteTitle>Bibliometric Indicators and the Social Sciences</b:InternetSiteTitle>
    <b:Month>11</b:Month>
    <b:Day>26</b:Day>
    <b:URL>http://www.sussex.ac.uk/Users/sylvank/</b:URL>
    <b:RefOrder>143</b:RefOrder>
  </b:Source>
  <b:Source>
    <b:Tag>San90</b:Tag>
    <b:SourceType>JournalArticle</b:SourceType>
    <b:Guid>{FB63B116-65C6-4C8A-AE07-A8A13CFC57F6}</b:Guid>
    <b:Author>
      <b:Author>
        <b:NameList>
          <b:Person>
            <b:Last>Sancho</b:Last>
            <b:First>R</b:First>
          </b:Person>
        </b:NameList>
      </b:Author>
    </b:Author>
    <b:Title>Indicadores bibliométricos utilizados en la evolución de la ciencia y la tecnología</b:Title>
    <b:JournalName>Revista Española de Documentación Científica</b:JournalName>
    <b:Year>1990</b:Year>
    <b:Pages>842 - 865</b:Pages>
    <b:Volume>3</b:Volume>
    <b:Issue>4</b:Issue>
    <b:RefOrder>144</b:RefOrder>
  </b:Source>
  <b:Source>
    <b:Tag>Peñ96</b:Tag>
    <b:SourceType>Book</b:SourceType>
    <b:Guid>{9E8196AB-4CCF-4D6D-98AD-5E148F56EAB0}</b:Guid>
    <b:Title>Técnicas de documentación científica. Teoría y práctica</b:Title>
    <b:Year>1996</b:Year>
    <b:Author>
      <b:Author>
        <b:NameList>
          <b:Person>
            <b:Last>Peña</b:Last>
            <b:First>S</b:First>
          </b:Person>
        </b:NameList>
      </b:Author>
    </b:Author>
    <b:City>Valencia</b:City>
    <b:Publisher>Promolibro</b:Publisher>
    <b:RefOrder>145</b:RefOrder>
  </b:Source>
  <b:Source>
    <b:Tag>Ben07</b:Tag>
    <b:SourceType>JournalArticle</b:SourceType>
    <b:Guid>{1FAAB2C7-7FEB-48F2-8C0D-FD27C847A28E}</b:Guid>
    <b:Title>El factor de impacto de las revistas científicas: limitaciones e indicadores alternativos</b:Title>
    <b:Year>2007</b:Year>
    <b:Author>
      <b:Author>
        <b:NameList>
          <b:Person>
            <b:Last>Benavent</b:Last>
            <b:First>A</b:First>
          </b:Person>
          <b:Person>
            <b:Last>Valderrama</b:Last>
            <b:First>Z</b:First>
          </b:Person>
        </b:NameList>
      </b:Author>
    </b:Author>
    <b:JournalName>El profesional de la información</b:JournalName>
    <b:Pages>4 - 11</b:Pages>
    <b:Volume>16</b:Volume>
    <b:Issue>1</b:Issue>
    <b:RefOrder>146</b:RefOrder>
  </b:Source>
  <b:Source>
    <b:Tag>Arw09</b:Tag>
    <b:SourceType>JournalArticle</b:SourceType>
    <b:Guid>{6114D4D8-DC35-42C6-89A1-6651A2E1FEB0}</b:Guid>
    <b:Title>Nuevos indicadores de rendimiento científico institucional basados en análisis de citas: los índices H sucesivos</b:Title>
    <b:Year>2009</b:Year>
    <b:Author>
      <b:Author>
        <b:NameList>
          <b:Person>
            <b:Last>Arencibia</b:Last>
            <b:First>J</b:First>
          </b:Person>
        </b:NameList>
      </b:Author>
    </b:Author>
    <b:JournalName>Revista española de Dopcumentación Científica</b:JournalName>
    <b:Pages>101 - 106</b:Pages>
    <b:Volume>32</b:Volume>
    <b:Issue>3</b:Issue>
    <b:RefOrder>147</b:RefOrder>
  </b:Source>
  <b:Source>
    <b:Tag>Cam10</b:Tag>
    <b:SourceType>JournalArticle</b:SourceType>
    <b:Guid>{390AB34B-669D-4613-8D95-63F77ABBFDC6}</b:Guid>
    <b:Author>
      <b:Author>
        <b:NameList>
          <b:Person>
            <b:Last>Campanario</b:Last>
            <b:First>J</b:First>
          </b:Person>
        </b:NameList>
      </b:Author>
    </b:Author>
    <b:Title>La influencia de las autocitas en el aumento del factor de impacto en revistas de Ciencias Sociales</b:Title>
    <b:JournalName>Revista Española de Documentación Científica</b:JournalName>
    <b:Year>2010</b:Year>
    <b:Pages>185 - 200</b:Pages>
    <b:Volume>33</b:Volume>
    <b:Issue>2</b:Issue>
    <b:RefOrder>148</b:RefOrder>
  </b:Source>
  <b:Source>
    <b:Tag>Gar95</b:Tag>
    <b:SourceType>JournalArticle</b:SourceType>
    <b:Guid>{7694FB72-4B65-4CC5-BBAD-2594979B2F6C}</b:Guid>
    <b:Author>
      <b:Author>
        <b:NameList>
          <b:Person>
            <b:Last>Garfield</b:Last>
            <b:First>E</b:First>
          </b:Person>
        </b:NameList>
      </b:Author>
    </b:Author>
    <b:Title>Citation indexes to science: a new dimension in documentation through the association of ideas</b:Title>
    <b:JournalName>Science </b:JournalName>
    <b:Year>1995</b:Year>
    <b:Pages>108 - 111</b:Pages>
    <b:RefOrder>149</b:RefOrder>
  </b:Source>
  <b:Source>
    <b:Tag>Mat16</b:Tag>
    <b:SourceType>JournalArticle</b:SourceType>
    <b:Guid>{38F2F197-AE0A-4E55-8034-DA7ED21D6400}</b:Guid>
    <b:Author>
      <b:Author>
        <b:NameList>
          <b:Person>
            <b:Last>Matos</b:Last>
            <b:First>M</b:First>
          </b:Person>
          <b:Person>
            <b:Last>Morales</b:Last>
            <b:First>I</b:First>
          </b:Person>
          <b:Person>
            <b:Last>Torres</b:Last>
            <b:First>I</b:First>
          </b:Person>
        </b:NameList>
      </b:Author>
    </b:Author>
    <b:Title>La administración de las entidades de información en la difusión de las publicaciones científicas</b:Title>
    <b:JournalName>Publicando</b:JournalName>
    <b:Year>2016</b:Year>
    <b:Pages>187-196</b:Pages>
    <b:Volume>3</b:Volume>
    <b:Issue>4</b:Issue>
    <b:RefOrder>150</b:RefOrder>
  </b:Source>
  <b:Source>
    <b:Tag>Spi10</b:Tag>
    <b:SourceType>JournalArticle</b:SourceType>
    <b:Guid>{7CE16141-AC5B-4621-B1FF-11926F354758}</b:Guid>
    <b:Author>
      <b:Author>
        <b:NameList>
          <b:Person>
            <b:Last>Spinak</b:Last>
            <b:First>E</b:First>
          </b:Person>
        </b:NameList>
      </b:Author>
    </b:Author>
    <b:Title>Indicadores cienciometricos</b:Title>
    <b:JournalName>Ciencia da Informacao</b:JournalName>
    <b:Year>2010</b:Year>
    <b:Pages>141 -148</b:Pages>
    <b:Volume>27</b:Volume>
    <b:Issue>2</b:Issue>
    <b:RefOrder>151</b:RefOrder>
  </b:Source>
  <b:Source>
    <b:Tag>Mor00</b:Tag>
    <b:SourceType>JournalArticle</b:SourceType>
    <b:Guid>{40BE18E2-5E6F-4BD9-9446-ABB44FFEEC69}</b:Guid>
    <b:Author>
      <b:Author>
        <b:NameList>
          <b:Person>
            <b:Last>Morales</b:Last>
            <b:First>M</b:First>
          </b:Person>
        </b:NameList>
      </b:Author>
    </b:Author>
    <b:Title>Glosario de</b:Title>
    <b:JournalName>La Habana</b:JournalName>
    <b:Year>2000</b:Year>
    <b:Pages>45 - 50</b:Pages>
    <b:Volume>20</b:Volume>
    <b:Issue>6</b:Issue>
    <b:RefOrder>152</b:RefOrder>
  </b:Source>
  <b:Source>
    <b:Tag>Lem05</b:Tag>
    <b:SourceType>JournalArticle</b:SourceType>
    <b:Guid>{3B3D0FF2-E8D7-4795-AEA4-A6291452D5DC}</b:Guid>
    <b:Author>
      <b:Author>
        <b:NameList>
          <b:Person>
            <b:Last>Lema</b:Last>
            <b:First>J</b:First>
          </b:Person>
        </b:NameList>
      </b:Author>
    </b:Author>
    <b:Title>Diccionario enciclopédico de</b:Title>
    <b:JournalName>UNESCO</b:JournalName>
    <b:Year>2005</b:Year>
    <b:Pages>30 - 35</b:Pages>
    <b:RefOrder>153</b:RefOrder>
  </b:Source>
  <b:Source>
    <b:Tag>Cal10</b:Tag>
    <b:SourceType>JournalArticle</b:SourceType>
    <b:Guid>{462A76BA-38EB-4EF8-BD99-99B5560A6BFA}</b:Guid>
    <b:Title>Estudios bibliométrico de la producción científica en la Ciencias Agropecuarias de Cuba, México y Brasil a través del Science Citation Index durante el período 2005-2008</b:Title>
    <b:JournalName>La Habana</b:JournalName>
    <b:Year>2010</b:Year>
    <b:Pages>40 - 46</b:Pages>
    <b:Author>
      <b:Author>
        <b:NameList>
          <b:Person>
            <b:Last>Calderón</b:Last>
            <b:First>Y</b:First>
          </b:Person>
        </b:NameList>
      </b:Author>
    </b:Author>
    <b:RefOrder>154</b:RefOrder>
  </b:Source>
  <b:Source>
    <b:Tag>Pri01</b:Tag>
    <b:SourceType>JournalArticle</b:SourceType>
    <b:Guid>{6CB6E40D-B360-4621-89EE-878869A05E88}</b:Guid>
    <b:Author>
      <b:Author>
        <b:NameList>
          <b:Person>
            <b:Last>Pritchard</b:Last>
            <b:First>R</b:First>
          </b:Person>
        </b:NameList>
      </b:Author>
    </b:Author>
    <b:Title>"Statistical bibliography or bibliometrics</b:Title>
    <b:JournalName>Journal of Documentation</b:JournalName>
    <b:Year>2001</b:Year>
    <b:Pages>349 - 355</b:Pages>
    <b:Volume>25</b:Volume>
    <b:Issue>4</b:Issue>
    <b:RefOrder>155</b:RefOrder>
  </b:Source>
  <b:Source>
    <b:Tag>MarcadorDePosición10</b:Tag>
    <b:SourceType>JournalArticle</b:SourceType>
    <b:Guid>{ECF36A69-2DA9-4BF4-B14E-6511DE07F0E0}</b:Guid>
    <b:Author>
      <b:Author>
        <b:NameList>
          <b:Person>
            <b:Last>García</b:Last>
            <b:First>A</b:First>
          </b:Person>
        </b:NameList>
      </b:Author>
    </b:Author>
    <b:Title>Las redes de colaboración científica y su efecto en la productividad. Un análisis bibliométrico</b:Title>
    <b:JournalName>Bibliotecología</b:JournalName>
    <b:Year>2013</b:Year>
    <b:Pages>45 - 50</b:Pages>
    <b:Volume>27</b:Volume>
    <b:Issue>59</b:Issue>
    <b:RefOrder>156</b:RefOrder>
  </b:Source>
  <b:Source>
    <b:Tag>Abb10</b:Tag>
    <b:SourceType>JournalArticle</b:SourceType>
    <b:Guid>{E7AE45A3-A87C-4672-B135-90568705C17A}</b:Guid>
    <b:Author>
      <b:Author>
        <b:NameList>
          <b:Person>
            <b:Last>Abbasi</b:Last>
            <b:First>A</b:First>
          </b:Person>
        </b:NameList>
      </b:Author>
    </b:Author>
    <b:Title> Social Network System for Analyzing Publication Activities of Researchers</b:Title>
    <b:JournalName>South-Korea, Seoul National University</b:JournalName>
    <b:Year>2010</b:Year>
    <b:Pages>67 - 71</b:Pages>
    <b:RefOrder>157</b:RefOrder>
  </b:Source>
  <b:Source>
    <b:Tag>Aza04</b:Tag>
    <b:SourceType>Report</b:SourceType>
    <b:Guid>{AD620BD1-917A-4A74-A13A-3E2AC1CA3CE2}</b:Guid>
    <b:Author>
      <b:Author>
        <b:NameList>
          <b:Person>
            <b:Last>Azagra</b:Last>
            <b:First>C</b:First>
          </b:Person>
        </b:NameList>
      </b:Author>
    </b:Author>
    <b:Title>La contribución de las universidades a la innovación: efectos del fomento de la interacción universidad-empresa y las patentes universitarias</b:Title>
    <b:Year>2004</b:Year>
    <b:Publisher>Departamento de Análisis Económico, Valencia, Universidad de Valencia</b:Publisher>
    <b:City>Valencia</b:City>
    <b:RefOrder>158</b:RefOrder>
  </b:Source>
  <b:Source>
    <b:Tag>Ber07</b:Tag>
    <b:SourceType>Report</b:SourceType>
    <b:Guid>{3923CE72-1FE9-448C-A0CE-8B154F735610}</b:Guid>
    <b:Author>
      <b:Author>
        <b:NameList>
          <b:Person>
            <b:Last>Bermeo</b:Last>
            <b:First>A</b:First>
          </b:Person>
        </b:NameList>
      </b:Author>
    </b:Author>
    <b:Title>Rendimiento y colaboración científica en la investigación académica. Estudio del caso de los grupos de investigación de la Universidad Politécnica de Valencia</b:Title>
    <b:Year>2007</b:Year>
    <b:Publisher>Departamento de Proyectos de Ingeniería, Valencia, Universidad Politécnica de Valencia</b:Publisher>
    <b:City>Valencia</b:City>
    <b:RefOrder>159</b:RefOrder>
  </b:Source>
  <b:Source>
    <b:Tag>Car04</b:Tag>
    <b:SourceType>JournalArticle</b:SourceType>
    <b:Guid>{41244528-4E4D-49E5-A643-63F96C292F0D}</b:Guid>
    <b:Title>Does research organization influence academic production? Laboratory level evidence from a large European university</b:Title>
    <b:Year>2004</b:Year>
    <b:Author>
      <b:Author>
        <b:NameList>
          <b:Person>
            <b:Last>Carayol</b:Last>
            <b:First>N</b:First>
          </b:Person>
        </b:NameList>
      </b:Author>
    </b:Author>
    <b:JournalName>Research Policy</b:JournalName>
    <b:Pages>1081 - 1102</b:Pages>
    <b:Volume>33</b:Volume>
    <b:RefOrder>160</b:RefOrder>
  </b:Source>
  <b:Source>
    <b:Tag>Cro08</b:Tag>
    <b:SourceType>JournalArticle</b:SourceType>
    <b:Guid>{344942A9-4937-4022-96A1-4600D77A87B0}</b:Guid>
    <b:Author>
      <b:Author>
        <b:NameList>
          <b:Person>
            <b:Last>Cross</b:Last>
            <b:First>R</b:First>
          </b:Person>
        </b:NameList>
      </b:Author>
    </b:Author>
    <b:Title>Managing collaboration: Improving team effectiveness through a network perspective</b:Title>
    <b:JournalName>California Management Review</b:JournalName>
    <b:Year>2008</b:Year>
    <b:Pages>70 - 75</b:Pages>
    <b:Volume>50</b:Volume>
    <b:Issue>4</b:Issue>
    <b:RefOrder>161</b:RefOrder>
  </b:Source>
  <b:Source>
    <b:Tag>CSI08</b:Tag>
    <b:SourceType>Report</b:SourceType>
    <b:Guid>{2F341456-8F2B-4904-B05F-78DEFB2661AD}</b:Guid>
    <b:Title>Impacto de la producción científica de la Comunidad Valenciana, Comunidad Valenciana</b:Title>
    <b:Year>2008</b:Year>
    <b:Author>
      <b:Author>
        <b:NameList>
          <b:Person>
            <b:Last>CSIC</b:Last>
          </b:Person>
        </b:NameList>
      </b:Author>
    </b:Author>
    <b:Publisher>Consejo Superior de Investigaciones Científicas</b:Publisher>
    <b:City>Valencia</b:City>
    <b:RefOrder>162</b:RefOrder>
  </b:Source>
  <b:Source>
    <b:Tag>Gae08</b:Tag>
    <b:SourceType>JournalArticle</b:SourceType>
    <b:Guid>{D1BF3CEE-0ACD-41E1-A7E6-3ABA241BCDBF}</b:Guid>
    <b:Author>
      <b:Author>
        <b:NameList>
          <b:Person>
            <b:Last>Gaete</b:Last>
            <b:First>J</b:First>
          </b:Person>
        </b:NameList>
      </b:Author>
    </b:Author>
    <b:Title>Conocimiento y estructura en la investigación académica: una aproximación desde el análisis de redes sociales</b:Title>
    <b:JournalName>Revista hispana para el análisis de redes sociales</b:JournalName>
    <b:Year>2008</b:Year>
    <b:Pages>78 - 83</b:Pages>
    <b:Volume>14</b:Volume>
    <b:Issue>5</b:Issue>
    <b:RefOrder>163</b:RefOrder>
  </b:Source>
  <b:Source>
    <b:Tag>Hou06</b:Tag>
    <b:SourceType>JournalArticle</b:SourceType>
    <b:Guid>{F1850471-EBAF-498D-BB25-6946E6982C9D}</b:Guid>
    <b:Author>
      <b:Author>
        <b:NameList>
          <b:Person>
            <b:Last>Hou</b:Last>
            <b:First>H</b:First>
          </b:Person>
        </b:NameList>
      </b:Author>
    </b:Author>
    <b:Title>The structure of scientific collaboration networks in Scientometrics</b:Title>
    <b:JournalName>Scientometrics</b:JournalName>
    <b:Year>2006</b:Year>
    <b:Pages>189 - 202</b:Pages>
    <b:Volume>75</b:Volume>
    <b:Issue>2</b:Issue>
    <b:RefOrder>164</b:RefOrder>
  </b:Source>
  <b:Source>
    <b:Tag>Low04</b:Tag>
    <b:SourceType>JournalArticle</b:SourceType>
    <b:Guid>{A3DF5B9F-A1E6-47F5-8C25-6D9A48212089}</b:Guid>
    <b:Author>
      <b:Author>
        <b:NameList>
          <b:Person>
            <b:Last>Lowrie</b:Last>
            <b:First>A</b:First>
          </b:Person>
        </b:NameList>
      </b:Author>
    </b:Author>
    <b:Title>Academic research networks: A key to enhancing scholarly standing</b:Title>
    <b:JournalName>European Management Journal</b:JournalName>
    <b:Year>2004</b:Year>
    <b:Pages>345 - 360</b:Pages>
    <b:Volume>22</b:Volume>
    <b:Issue>4</b:Issue>
    <b:RefOrder>165</b:RefOrder>
  </b:Source>
  <b:Source>
    <b:Tag>Rou00</b:Tag>
    <b:SourceType>JournalArticle</b:SourceType>
    <b:Guid>{C9B75E16-A333-4278-88E4-E6E7874571C0}</b:Guid>
    <b:Author>
      <b:Author>
        <b:NameList>
          <b:Person>
            <b:Last>Rousseau</b:Last>
            <b:First>R</b:First>
          </b:Person>
        </b:NameList>
      </b:Author>
    </b:Author>
    <b:Title>Indicadores bibliométricos y econométricos en la evaluación de instituciones científicas</b:Title>
    <b:JournalName>Ci. Inf. Brasília</b:JournalName>
    <b:Year>2000</b:Year>
    <b:Pages>149 - 158</b:Pages>
    <b:Volume>27</b:Volume>
    <b:Issue>2</b:Issue>
    <b:RefOrder>166</b:RefOrder>
  </b:Source>
  <b:Source>
    <b:Tag>Are08</b:Tag>
    <b:SourceType>JournalArticle</b:SourceType>
    <b:Guid>{25C37933-7031-4B88-A445-EC4C20AF9542}</b:Guid>
    <b:Title>Applying successive H indices in the institutional evaluation: a case study</b:Title>
    <b:Year>2008</b:Year>
    <b:Author>
      <b:Author>
        <b:NameList>
          <b:Person>
            <b:Last>Arencibia</b:Last>
            <b:First>R</b:First>
          </b:Person>
          <b:Person>
            <b:Last>Barros</b:Last>
            <b:First>I</b:First>
          </b:Person>
        </b:NameList>
      </b:Author>
    </b:Author>
    <b:JournalName>Journal of the American Society for Information Science and Technology</b:JournalName>
    <b:Pages>155 - 157</b:Pages>
    <b:Volume>59</b:Volume>
    <b:RefOrder>167</b:RefOrder>
  </b:Source>
  <b:Source>
    <b:Tag>Cam08</b:Tag>
    <b:SourceType>JournalArticle</b:SourceType>
    <b:Guid>{1E66B93E-3F1F-43DF-B217-C759B1558D6F}</b:Guid>
    <b:Author>
      <b:Author>
        <b:NameList>
          <b:Person>
            <b:Last>Camps</b:Last>
            <b:First>D</b:First>
          </b:Person>
        </b:NameList>
      </b:Author>
    </b:Author>
    <b:Title>Limitaciones de los indicadores bibliométricos en la evaluación de la actividad científica</b:Title>
    <b:JournalName>Colombia Médica</b:JournalName>
    <b:Year>2008</b:Year>
    <b:Pages>74 - 79</b:Pages>
    <b:Volume>39</b:Volume>
    <b:RefOrder>168</b:RefOrder>
  </b:Source>
  <b:Source>
    <b:Tag>Sci07</b:Tag>
    <b:SourceType>JournalArticle</b:SourceType>
    <b:Guid>{1BBB7385-1889-42B5-8F2E-A00F455FFAD9}</b:Guid>
    <b:Author>
      <b:Author>
        <b:NameList>
          <b:Person>
            <b:Last>Scimago</b:Last>
          </b:Person>
        </b:NameList>
      </b:Author>
    </b:Author>
    <b:Title>El índice h de Hirsch: su aplicación a algunos de los científicos españoles más destacados</b:Title>
    <b:JournalName>El profesional de la información</b:JournalName>
    <b:Year>2007</b:Year>
    <b:Pages>47 - 49</b:Pages>
    <b:Volume>16</b:Volume>
    <b:RefOrder>169</b:RefOrder>
  </b:Source>
  <b:Source>
    <b:Tag>Las06</b:Tag>
    <b:SourceType>JournalArticle</b:SourceType>
    <b:Guid>{C6FE24B8-6642-407D-922A-5D5ED7339649}</b:Guid>
    <b:Author>
      <b:Author>
        <b:NameList>
          <b:Person>
            <b:Last>Lascurain</b:Last>
            <b:First>M</b:First>
          </b:Person>
        </b:NameList>
      </b:Author>
    </b:Author>
    <b:Title>La evaluación de la actividad científica mediante indicadores bibliométricos</b:Title>
    <b:JournalName>Boletín Bibliotecas</b:JournalName>
    <b:Year>2006</b:Year>
    <b:Pages>1 - 12</b:Pages>
    <b:Volume>24</b:Volume>
    <b:RefOrder>170</b:RefOrder>
  </b:Source>
  <b:Source>
    <b:Tag>Sch07</b:Tag>
    <b:SourceType>JournalArticle</b:SourceType>
    <b:Guid>{B5994DF1-DC3B-42B0-AADC-59CD268630A5}</b:Guid>
    <b:Author>
      <b:Author>
        <b:NameList>
          <b:Person>
            <b:Last>Schubert</b:Last>
            <b:First>A</b:First>
          </b:Person>
        </b:NameList>
      </b:Author>
    </b:Author>
    <b:Title>Succesive h-indices</b:Title>
    <b:JournalName>Scientometrics</b:JournalName>
    <b:Year>2007</b:Year>
    <b:Pages>201 - 205</b:Pages>
    <b:Volume>70</b:Volume>
    <b:RefOrder>171</b:RefOrder>
  </b:Source>
  <b:Source>
    <b:Tag>Vel12</b:Tag>
    <b:SourceType>JournalArticle</b:SourceType>
    <b:Guid>{4A0C56FF-E5FC-42D5-B0A5-5EAE237EFCE2}</b:Guid>
    <b:Author>
      <b:Author>
        <b:NameList>
          <b:Person>
            <b:Last>Velasco</b:Last>
            <b:First>B</b:First>
          </b:Person>
          <b:Person>
            <b:Last>Pinilla</b:Last>
            <b:First>M</b:First>
          </b:Person>
        </b:NameList>
      </b:Author>
    </b:Author>
    <b:Title>La utilización de los indicadores bibliométricos para evaluar la actividad investigadora</b:Title>
    <b:JournalName>Universidad de Oviedo</b:JournalName>
    <b:Year>2012</b:Year>
    <b:Pages>75 - 84</b:Pages>
    <b:Volume>40</b:Volume>
    <b:Issue>2</b:Issue>
    <b:RefOrder>172</b:RefOrder>
  </b:Source>
  <b:Source>
    <b:Tag>FEC20</b:Tag>
    <b:SourceType>InternetSite</b:SourceType>
    <b:Guid>{3BEE5306-C163-4B7B-96C8-FE35A80EB541}</b:Guid>
    <b:Title>Fundación Española para la Ciencia y la Tecnología</b:Title>
    <b:Year>2020</b:Year>
    <b:Author>
      <b:Author>
        <b:NameList>
          <b:Person>
            <b:Last>FECYT</b:Last>
          </b:Person>
        </b:NameList>
      </b:Author>
    </b:Author>
    <b:InternetSiteTitle>Fundación Española para la Ciencia y la Tecnología</b:InternetSiteTitle>
    <b:Month>11</b:Month>
    <b:Day>28</b:Day>
    <b:URL>https://www.recursoscientificos.fecyt.es</b:URL>
    <b:RefOrder>173</b:RefOrder>
  </b:Source>
  <b:Source>
    <b:Tag>Tor17</b:Tag>
    <b:SourceType>JournalArticle</b:SourceType>
    <b:Guid>{49E1F1D6-5857-4F8D-86B3-116F19D2860E}</b:Guid>
    <b:Author>
      <b:Author>
        <b:NameList>
          <b:Person>
            <b:Last>Torrijo</b:Last>
            <b:First>E</b:First>
          </b:Person>
          <b:Person>
            <b:Last>Espinoza</b:Last>
            <b:First>R</b:First>
          </b:Person>
        </b:NameList>
      </b:Author>
    </b:Author>
    <b:Title>Análisis bibliométrico de la literatura científica publicada en la revista La Técnica (2010-2016)</b:Title>
    <b:JournalName>Rehuso</b:JournalName>
    <b:Year>2017</b:Year>
    <b:Pages>67 - 72</b:Pages>
    <b:Volume>2</b:Volume>
    <b:Issue>1</b:Issue>
    <b:RefOrder>174</b:RefOrder>
  </b:Source>
  <b:Source>
    <b:Tag>Cha12</b:Tag>
    <b:SourceType>JournalArticle</b:SourceType>
    <b:Guid>{6F5B0A17-8FBA-461A-AE45-7C76AFE4CD5C}</b:Guid>
    <b:Author>
      <b:Author>
        <b:NameList>
          <b:Person>
            <b:Last>Chaviano</b:Last>
            <b:First>O</b:First>
          </b:Person>
        </b:NameList>
      </b:Author>
    </b:Author>
    <b:Title>Algunas consideraciones teórico-conceptuales sobre las disciplinas métricas</b:Title>
    <b:JournalName>ACIMED</b:JournalName>
    <b:Year>2012</b:Year>
    <b:Pages>56 - 61</b:Pages>
    <b:RefOrder>175</b:RefOrder>
  </b:Source>
  <b:Source>
    <b:Tag>Rub12</b:Tag>
    <b:SourceType>InternetSite</b:SourceType>
    <b:Guid>{AAB7C823-6613-4235-89C3-0635F671B443}</b:Guid>
    <b:Author>
      <b:Author>
        <b:NameList>
          <b:Person>
            <b:Last>Rubio</b:Last>
            <b:First>M</b:First>
          </b:Person>
        </b:NameList>
      </b:Author>
    </b:Author>
    <b:Title>Bibliometría y ciencias sociales</b:Title>
    <b:Year>2012</b:Year>
    <b:InternetSiteTitle>Bibliometría y ciencias sociales</b:InternetSiteTitle>
    <b:Month>8</b:Month>
    <b:Day>12</b:Day>
    <b:URL>http://clio.rediris.es/articulos/bibliometria.html</b:URL>
    <b:RefOrder>176</b:RefOrder>
  </b:Source>
  <b:Source>
    <b:Tag>Leo12</b:Tag>
    <b:SourceType>JournalArticle</b:SourceType>
    <b:Guid>{E084FAA9-940E-4C0A-9C55-EBB9780982F4}</b:Guid>
    <b:Title>Análisis bibliométrico sobre la producción científica archivística en la Red de Revistas Científicas de América Latina y el Caribe (Redalyc) durante el período 2001-2011</b:Title>
    <b:Year>2012</b:Year>
    <b:Author>
      <b:Author>
        <b:NameList>
          <b:Person>
            <b:Last>Leomar</b:Last>
            <b:First>J</b:First>
          </b:Person>
        </b:NameList>
      </b:Author>
    </b:Author>
    <b:JournalName>Biblios</b:JournalName>
    <b:Pages>78 - 82</b:Pages>
    <b:Volume>48</b:Volume>
    <b:RefOrder>177</b:RefOrder>
  </b:Source>
  <b:Source>
    <b:Tag>Alv15</b:Tag>
    <b:SourceType>JournalArticle</b:SourceType>
    <b:Guid>{CC362599-C51F-459D-A9F3-5FEAA76A5F9D}</b:Guid>
    <b:Author>
      <b:Author>
        <b:NameList>
          <b:Person>
            <b:Last>Alvarez</b:Last>
            <b:First>P</b:First>
          </b:Person>
          <b:Person>
            <b:Last>Montoro</b:Last>
            <b:First>M</b:First>
          </b:Person>
        </b:NameList>
      </b:Author>
    </b:Author>
    <b:Title>Análisis de la producción y de la visibilidad científica de Ecuador en el contexto Andino (2000-2013)</b:Title>
    <b:JournalName>Revista Internacional de Información y Comunicación</b:JournalName>
    <b:Year>2015</b:Year>
    <b:Pages>577 - 586</b:Pages>
    <b:Volume>24</b:Volume>
    <b:Issue>5</b:Issue>
    <b:RefOrder>178</b:RefOrder>
  </b:Source>
  <b:Source>
    <b:Tag>And13</b:Tag>
    <b:SourceType>JournalArticle</b:SourceType>
    <b:Guid>{1F85C471-4175-4B21-992F-373465C8C1CB}</b:Guid>
    <b:Author>
      <b:Author>
        <b:NameList>
          <b:Person>
            <b:Last>Andrade</b:Last>
            <b:First>C</b:First>
          </b:Person>
          <b:Person>
            <b:Last>López</b:Last>
            <b:First>A</b:First>
          </b:Person>
          <b:Person>
            <b:Last>Campillo</b:Last>
            <b:First>R</b:First>
          </b:Person>
        </b:NameList>
      </b:Author>
    </b:Author>
    <b:Title>Bibliometric analysis of South American research in sports science from 1970 to 2012</b:Title>
    <b:JournalName>Revista de Educação Física</b:JournalName>
    <b:Year>2013</b:Year>
    <b:Pages>783 - 791</b:Pages>
    <b:Volume>19</b:Volume>
    <b:Issue>4</b:Issue>
    <b:RefOrder>179</b:RefOrder>
  </b:Source>
  <b:Source>
    <b:Tag>Ayo15</b:Tag>
    <b:SourceType>JournalArticle</b:SourceType>
    <b:Guid>{2CCE3FA5-DD84-419E-87D4-C602145DE25A}</b:Guid>
    <b:Author>
      <b:Author>
        <b:NameList>
          <b:Person>
            <b:Last>Ayora</b:Last>
            <b:First>M</b:First>
          </b:Person>
        </b:NameList>
      </b:Author>
    </b:Author>
    <b:Title>La investigación científica en las universidades ecuatorianas</b:Title>
    <b:JournalName>Anales</b:JournalName>
    <b:Year>2015</b:Year>
    <b:Pages>61 - 72</b:Pages>
    <b:Volume>57</b:Volume>
    <b:RefOrder>180</b:RefOrder>
  </b:Source>
  <b:Source>
    <b:Tag>Hoo15</b:Tag>
    <b:SourceType>JournalArticle</b:SourceType>
    <b:Guid>{AF84A761-BE95-4E18-A2BC-DFAC299F0C85}</b:Guid>
    <b:Author>
      <b:Author>
        <b:NameList>
          <b:Person>
            <b:Last>Hoof</b:Last>
            <b:First>H</b:First>
          </b:Person>
        </b:NameList>
      </b:Author>
    </b:Author>
    <b:Title>Ecuador’s Efforts to Raise Its Research Profile: The Prometeo Program Case Study</b:Title>
    <b:JournalName>Journal of Hispanic Higher Education</b:JournalName>
    <b:Year>2015</b:Year>
    <b:Pages>56 - 68</b:Pages>
    <b:Volume>14</b:Volume>
    <b:Issue>1</b:Issue>
    <b:RefOrder>181</b:RefOrder>
  </b:Source>
  <b:Source>
    <b:Tag>Loo14</b:Tag>
    <b:SourceType>JournalArticle</b:SourceType>
    <b:Guid>{5EBFED92-77BA-42E7-8F08-DAF0347BA994}</b:Guid>
    <b:Author>
      <b:Author>
        <b:NameList>
          <b:Person>
            <b:Last>Loor</b:Last>
            <b:First>F</b:First>
          </b:Person>
        </b:NameList>
      </b:Author>
    </b:Author>
    <b:Title>Investigación y desarrollo en Ecuador: un análisis comparativo entre América Latina y el Caribe (2000 - 2012)</b:Title>
    <b:JournalName>Compendium</b:JournalName>
    <b:Year>2014</b:Year>
    <b:Pages>28 - 46</b:Pages>
    <b:Volume>1</b:Volume>
    <b:Issue>2</b:Issue>
    <b:RefOrder>182</b:RefOrder>
  </b:Source>
  <b:Source>
    <b:Tag>Sis11</b:Tag>
    <b:SourceType>JournalArticle</b:SourceType>
    <b:Guid>{AC12D577-D686-4759-8BBE-5EC502B4C334}</b:Guid>
    <b:Author>
      <b:Author>
        <b:NameList>
          <b:Person>
            <b:Last>Sisa</b:Last>
            <b:First>G</b:First>
          </b:Person>
        </b:NameList>
      </b:Author>
    </b:Author>
    <b:Title>La producción científica en ciencias de la salud en Ecuador</b:Title>
    <b:JournalName>Revista Panamericana de Salud Pública</b:JournalName>
    <b:Year>2011</b:Year>
    <b:Pages>388 - 392</b:Pages>
    <b:Volume>30</b:Volume>
    <b:Issue>4</b:Issue>
    <b:RefOrder>183</b:RefOrder>
  </b:Source>
  <b:Source>
    <b:Tag>Pou14</b:Tag>
    <b:SourceType>JournalArticle</b:SourceType>
    <b:Guid>{DF9B936A-B934-4228-B4AB-22C6523743EA}</b:Guid>
    <b:Author>
      <b:Author>
        <b:NameList>
          <b:Person>
            <b:Last>Pouris</b:Last>
            <b:First>A</b:First>
          </b:Person>
        </b:NameList>
      </b:Author>
    </b:Author>
    <b:Title>Research emphasis and collaboration in Africa</b:Title>
    <b:JournalName>Scientometrics</b:JournalName>
    <b:Year>2014</b:Year>
    <b:Pages>2169 - 2184</b:Pages>
    <b:Volume>98</b:Volume>
    <b:Issue>3</b:Issue>
    <b:RefOrder>184</b:RefOrder>
  </b:Source>
  <b:Source>
    <b:Tag>Nar91</b:Tag>
    <b:SourceType>JournalArticle</b:SourceType>
    <b:Guid>{31E359C0-CD02-43E5-8DD3-6E4A9A72A189}</b:Guid>
    <b:Author>
      <b:Author>
        <b:NameList>
          <b:Person>
            <b:Last>Narin</b:Last>
            <b:First>F</b:First>
          </b:Person>
        </b:NameList>
      </b:Author>
    </b:Author>
    <b:Title>Scientific cooperation in Europe and the citation of multinationally authored papers</b:Title>
    <b:JournalName>Scientometrics</b:JournalName>
    <b:Year>1991</b:Year>
    <b:Pages>313 - 323</b:Pages>
    <b:Volume>21</b:Volume>
    <b:Issue>3</b:Issue>
    <b:RefOrder>185</b:RefOrder>
  </b:Source>
  <b:Source>
    <b:Tag>Cas19</b:Tag>
    <b:SourceType>JournalArticle</b:SourceType>
    <b:Guid>{0BE1C591-49AE-49C1-910A-4F8B9B9A9922}</b:Guid>
    <b:Author>
      <b:Author>
        <b:NameList>
          <b:Person>
            <b:Last>Castillo</b:Last>
            <b:First>J</b:First>
          </b:Person>
          <b:Person>
            <b:Last>Powell</b:Last>
            <b:First>M</b:First>
          </b:Person>
        </b:NameList>
      </b:Author>
    </b:Author>
    <b:Title>Análisis de la producción científica del Ecuador e impacto de la colaboración internacional en el periodo 2006-2015</b:Title>
    <b:JournalName>Española de Documentación Científica</b:JournalName>
    <b:Year>2019</b:Year>
    <b:Pages>225 - 231</b:Pages>
    <b:Volume>42</b:Volume>
    <b:Issue>1</b:Issue>
    <b:RefOrder>186</b:RefOrder>
  </b:Source>
  <b:Source>
    <b:Tag>Tru10</b:Tag>
    <b:SourceType>JournalArticle</b:SourceType>
    <b:Guid>{15E6EE92-BCC3-4894-9603-7A964EF4C80B}</b:Guid>
    <b:Author>
      <b:Author>
        <b:NameList>
          <b:Person>
            <b:Last>Trueba</b:Last>
            <b:First>R</b:First>
          </b:Person>
          <b:Person>
            <b:Last>Estrada</b:Last>
            <b:First>M</b:First>
          </b:Person>
        </b:NameList>
      </b:Author>
    </b:Author>
    <b:Title>La base de datos PubMed y la bu ́squeda de informacion cientıfica</b:Title>
    <b:JournalName>Seminarios de la Fundacion Española de Reumatologıa</b:JournalName>
    <b:Year>2010</b:Year>
    <b:Pages>49 - 63</b:Pages>
    <b:Volume>11</b:Volume>
    <b:Issue>2</b:Issue>
    <b:RefOrder>187</b:RefOrder>
  </b:Source>
  <b:Source>
    <b:Tag>UNE02</b:Tag>
    <b:SourceType>Book</b:SourceType>
    <b:Guid>{49FE9B47-AF50-4E2E-A681-DD532624ACC4}</b:Guid>
    <b:Author>
      <b:Author>
        <b:Corporate>UNESCO</b:Corporate>
      </b:Author>
    </b:Author>
    <b:Title>Aprendizaje abierto y a distancia: consideraciones sobre tendencias, políticas y estrategias</b:Title>
    <b:Year>2002</b:Year>
    <b:City>Paris</b:City>
    <b:Publisher>Michael M. Moore, The Pennsylvania State University, EE.UU.Alan Tait, The Open University, Reino UnidoYuri Zaparovanny, UNESCO-IITE, Moscú, Rusia</b:Publisher>
    <b:RefOrder>188</b:RefOrder>
  </b:Source>
  <b:Source>
    <b:Tag>CEP20</b:Tag>
    <b:SourceType>Report</b:SourceType>
    <b:Guid>{7DAA9CEB-098E-4C0C-9E51-55B28A48F2C9}</b:Guid>
    <b:Title>La educación en tiempos de la pandemia de COVID-19</b:Title>
    <b:Year>2020</b:Year>
    <b:City>Washington DC</b:City>
    <b:Publisher>UNESCO</b:Publisher>
    <b:Author>
      <b:Author>
        <b:Corporate>CEPAL, OREALC y UNESCO</b:Corporate>
      </b:Author>
    </b:Author>
    <b:RefOrder>189</b:RefOrder>
  </b:Source>
  <b:Source>
    <b:Tag>Pan21</b:Tag>
    <b:SourceType>JournalArticle</b:SourceType>
    <b:Guid>{DAB6C216-520D-4003-AD6C-A95BC92E3BF6}</b:Guid>
    <b:Author>
      <b:Author>
        <b:NameList>
          <b:Person>
            <b:Last>Pantoja</b:Last>
            <b:First>Miniam</b:First>
          </b:Person>
          <b:Person>
            <b:Last>Lucero</b:Last>
            <b:First>Nelson</b:First>
          </b:Person>
          <b:Person>
            <b:Last>Álvarez</b:Last>
            <b:First>Sary</b:First>
          </b:Person>
          <b:Person>
            <b:Last>Enríquez</b:Last>
            <b:First>Jenny</b:First>
          </b:Person>
        </b:NameList>
      </b:Author>
    </b:Author>
    <b:Title>Educación y Pandemia: Desafio para los docentes de Educación Básica Superior y Bachillerato de la ciudad de Ibarra, Ecuador</b:Title>
    <b:Year>2021</b:Year>
    <b:JournalName>Revista Conrado</b:JournalName>
    <b:Pages>307-313</b:Pages>
    <b:URL>http://scielo.sld.cu/pdf/rc/v17n81/1990-8644-rc-17-81-307.pdf</b:URL>
    <b:RefOrder>190</b:RefOrder>
  </b:Source>
  <b:Source>
    <b:Tag>Nac20</b:Tag>
    <b:SourceType>DocumentFromInternetSite</b:SourceType>
    <b:Guid>{A4C9B480-9C4E-4716-BFA3-300F42B97E17}</b:Guid>
    <b:Title>Noticias ONU</b:Title>
    <b:Year>2020</b:Year>
    <b:Author>
      <b:Author>
        <b:Corporate>Naciones Unidas</b:Corporate>
      </b:Author>
    </b:Author>
    <b:InternetSiteTitle>Diez recomendaciones para estudiar a distancia durante la emergencia del coronavirus</b:InternetSiteTitle>
    <b:Month>Marzo</b:Month>
    <b:Day>18</b:Day>
    <b:URL>https://news.un.org/es/story/2020/03/1471342</b:URL>
    <b:RefOrder>191</b:RefOrder>
  </b:Source>
  <b:Source>
    <b:Tag>Nay18</b:Tag>
    <b:SourceType>JournalArticle</b:SourceType>
    <b:Guid>{2FF50F69-BD4B-4C0B-90C2-A11EB09E677F}</b:Guid>
    <b:Title>Las actividades de aprendizaje y el rendimiento académico en la educación a distancia. Universidad Técnica Particular de Loja, Ecuador</b:Title>
    <b:Year>2018</b:Year>
    <b:Author>
      <b:Author>
        <b:NameList>
          <b:Person>
            <b:Last>Moncayo</b:Last>
            <b:First>Nayive</b:First>
          </b:Person>
          <b:Person>
            <b:Last>Pereira</b:Last>
            <b:First>José</b:First>
          </b:Person>
          <b:Person>
            <b:Last>González</b:Last>
            <b:First>María</b:First>
          </b:Person>
        </b:NameList>
      </b:Author>
    </b:Author>
    <b:JournalName>UNIMAR</b:JournalName>
    <b:Pages>33 - 47</b:Pages>
    <b:RefOrder>192</b:RefOrder>
  </b:Source>
  <b:Source>
    <b:Tag>Tec23</b:Tag>
    <b:SourceType>InternetSite</b:SourceType>
    <b:Guid>{2D880F0C-43E6-4651-9019-4947B78DA4E4}</b:Guid>
    <b:Year>2023</b:Year>
    <b:Author>
      <b:Author>
        <b:Corporate>Tecnológico Espíritu Santo</b:Corporate>
      </b:Author>
    </b:Author>
    <b:URL>https://www.tes.edu.ec/</b:URL>
    <b:RefOrder>193</b:RefOrder>
  </b:Source>
  <b:Source>
    <b:Tag>Lor19</b:Tag>
    <b:SourceType>JournalArticle</b:SourceType>
    <b:Guid>{665EEFFC-DC8E-4564-852C-B2AA3B394116}</b:Guid>
    <b:Title>Historia de la Educación a Distancia</b:Title>
    <b:Year>2019</b:Year>
    <b:Author>
      <b:Author>
        <b:NameList>
          <b:Person>
            <b:Last>García</b:Last>
            <b:First>Lorenzo</b:First>
          </b:Person>
        </b:NameList>
      </b:Author>
    </b:Author>
    <b:JournalName>UNED</b:JournalName>
    <b:Pages>8 - 27</b:Pages>
    <b:RefOrder>194</b:RefOrder>
  </b:Source>
  <b:Source>
    <b:Tag>Mun</b:Tag>
    <b:SourceType>InternetSite</b:SourceType>
    <b:Guid>{631E9364-3B03-438E-9630-446D27402210}</b:Guid>
    <b:Title>Ciudadano</b:Title>
    <b:InternetSiteTitle>¿De qué se trata el proyecto Aprendamos?</b:InternetSiteTitle>
    <b:URL>https://www.guayaquil.gob.ec/de-que-se-trata-el-proyecto-aprendamos/</b:URL>
    <b:Author>
      <b:Author>
        <b:Corporate>Municipio de Guayaquil</b:Corporate>
      </b:Author>
    </b:Author>
    <b:RefOrder>195</b:RefOrder>
  </b:Source>
  <b:Source>
    <b:Tag>Lui11</b:Tag>
    <b:SourceType>Book</b:SourceType>
    <b:Guid>{6AE8860B-4F4F-4BB2-809C-1F39AD24C1D4}</b:Guid>
    <b:Title>La Educación Virtual en los inicios del diglo XXI</b:Title>
    <b:Year>2011</b:Year>
    <b:Author>
      <b:Author>
        <b:NameList>
          <b:Person>
            <b:Last>Acosta</b:Last>
            <b:First>Luis</b:First>
          </b:Person>
          <b:Person>
            <b:Last>Cervantes</b:Last>
            <b:First>Raul</b:First>
          </b:Person>
          <b:Person>
            <b:Last>Bustos</b:Last>
            <b:First>Eduardo</b:First>
          </b:Person>
        </b:NameList>
      </b:Author>
    </b:Author>
    <b:City>México</b:City>
    <b:Publisher>Sociedad Cooperativa</b:Publisher>
    <b:RefOrder>196</b:RefOrder>
  </b:Source>
  <b:Source>
    <b:Tag>YazSf</b:Tag>
    <b:SourceType>JournalArticle</b:SourceType>
    <b:Guid>{7AFDAF78-C238-47EE-B9FA-CD4AFBEE33A9}</b:Guid>
    <b:Title>Multimedia en la Educación, una necesidad</b:Title>
    <b:Year>S.f</b:Year>
    <b:Author>
      <b:Author>
        <b:NameList>
          <b:Person>
            <b:Last>González</b:Last>
            <b:First>Yazmín</b:First>
          </b:Person>
        </b:NameList>
      </b:Author>
    </b:Author>
    <b:JournalName>Universidad Autónoma de la ciudad de Hidalgo</b:JournalName>
    <b:Pages>S.f</b:Pages>
    <b:RefOrder>197</b:RefOrder>
  </b:Source>
  <b:Source>
    <b:Tag>Sma20</b:Tag>
    <b:SourceType>ArticleInAPeriodical</b:SourceType>
    <b:Guid>{8D43B0D9-576A-4767-B73F-ECEF9A8C1A17}</b:Guid>
    <b:Author>
      <b:Author>
        <b:NameList>
          <b:Person>
            <b:Last>Smaniego</b:Last>
            <b:First>Esperanza</b:First>
          </b:Person>
        </b:NameList>
      </b:Author>
    </b:Author>
    <b:Title>Reflexiones sobre la educación Telemática en tiempos del Coronavirus</b:Title>
    <b:Year>2020</b:Year>
    <b:Pages>S.f</b:Pages>
    <b:Month>Abril</b:Month>
    <b:RefOrder>198</b:RefOrder>
  </b:Source>
  <b:Source>
    <b:Tag>Obs23</b:Tag>
    <b:SourceType>DocumentFromInternetSite</b:SourceType>
    <b:Guid>{4303CD4B-C61E-4B7E-8368-612DA50613BE}</b:Guid>
    <b:Title>BRANCH</b:Title>
    <b:Year>2023</b:Year>
    <b:Author>
      <b:Author>
        <b:Corporate>Observatorio Branch</b:Corporate>
      </b:Author>
    </b:Author>
    <b:InternetSiteTitle>Estadísticas de la situación Digital en Ecuador 2021-2022</b:InternetSiteTitle>
    <b:URL>https://branch.com.co/marketing-digital/estadisticas-de-la-situacion-digital-en-ecuador-2021-2022/</b:URL>
    <b:RefOrder>199</b:RefOrder>
  </b:Source>
  <b:Source>
    <b:Tag>Vic20</b:Tag>
    <b:SourceType>JournalArticle</b:SourceType>
    <b:Guid>{C985DF29-D4C7-44E8-AC14-805E60783A95}</b:Guid>
    <b:Title>Uso del celular como enseñanza en el aula virtual en estudiantes de educación básica en tiempos de coronavirus</b:Title>
    <b:Year>2020</b:Year>
    <b:Author>
      <b:Author>
        <b:NameList>
          <b:Person>
            <b:Last>Gómez</b:Last>
            <b:First>Victoria</b:First>
          </b:Person>
        </b:NameList>
      </b:Author>
    </b:Author>
    <b:JournalName>Revista de nvestigación e Innovación</b:JournalName>
    <b:Pages>277-297</b:Pages>
    <b:RefOrder>200</b:RefOrder>
  </b:Source>
  <b:Source>
    <b:Tag>Gru21</b:Tag>
    <b:SourceType>Book</b:SourceType>
    <b:Guid>{67BB65B0-B6C3-4E80-B09B-1260A2CFC990}</b:Guid>
    <b:Title>El estado de la conectividad educativa en América Latina: desafios y oportunidades estratégicas</b:Title>
    <b:Year>2021</b:Year>
    <b:City>Washington</b:City>
    <b:Publisher>Diálogo Interamericano</b:Publisher>
    <b:Author>
      <b:Author>
        <b:Corporate>Grupo del Banco Mundial</b:Corporate>
      </b:Author>
    </b:Author>
    <b:RefOrder>1</b:RefOrder>
  </b:Source>
  <b:Source>
    <b:Tag>Vic21</b:Tag>
    <b:SourceType>JournalArticle</b:SourceType>
    <b:Guid>{973D57DE-BE41-4A44-BF24-9BC3A8EC9D48}</b:Guid>
    <b:Author>
      <b:Author>
        <b:NameList>
          <b:Person>
            <b:Last>Gómez</b:Last>
            <b:First>Victoria</b:First>
          </b:Person>
        </b:NameList>
      </b:Author>
    </b:Author>
    <b:Title>La necesario formación del profesora universitario ante la docencia virtual</b:Title>
    <b:JournalName>REJIE Nueba Época</b:JournalName>
    <b:Year>2021</b:Year>
    <b:Pages>47-56</b:Pages>
    <b:RefOrder>18</b:RefOrder>
  </b:Source>
  <b:Source>
    <b:Tag>Pér13</b:Tag>
    <b:SourceType>Book</b:SourceType>
    <b:Guid>{A827F976-016D-4F6A-821F-856C341A1468}</b:Guid>
    <b:Author>
      <b:Author>
        <b:NameList>
          <b:Person>
            <b:Last>Pérez</b:Last>
            <b:First>Iván</b:First>
          </b:Person>
        </b:NameList>
      </b:Author>
    </b:Author>
    <b:Title>Estrategias para implementar las TIC en el aula</b:Title>
    <b:Year>2017</b:Year>
    <b:Month>octubre</b:Month>
    <b:URL>https://definicion.mx/celular/. </b:URL>
    <b:City>Medellín s.n.</b:City>
    <b:RefOrder>19</b:RefOrder>
  </b:Source>
  <b:Source>
    <b:Tag>Est21</b:Tag>
    <b:SourceType>JournalArticle</b:SourceType>
    <b:Guid>{B907DCF5-A0D5-4376-A0CA-5FDD2EF79C74}</b:Guid>
    <b:Author>
      <b:Author>
        <b:NameList>
          <b:Person>
            <b:Last>Rando</b:Last>
            <b:First>Esther</b:First>
          </b:Person>
        </b:NameList>
      </b:Author>
    </b:Author>
    <b:Title>La necesario formación del profesorado universitario en la docencia online</b:Title>
    <b:JournalName>REJIE Nueva Época</b:JournalName>
    <b:Year>2021</b:Year>
    <b:Pages>47-56</b:Pages>
    <b:RefOrder>20</b:RefOrder>
  </b:Source>
  <b:Source>
    <b:Tag>Mar19</b:Tag>
    <b:SourceType>JournalArticle</b:SourceType>
    <b:Guid>{5C02457A-5BFF-4D0B-B075-EBBB8A04320D}</b:Guid>
    <b:Author>
      <b:Author>
        <b:NameList>
          <b:Person>
            <b:Last>Duarte</b:Last>
            <b:First>Marcela</b:First>
          </b:Person>
          <b:Person>
            <b:Last>Montalvo</b:Last>
            <b:First>Danitza</b:First>
          </b:Person>
          <b:Person>
            <b:Last>Valdes</b:Last>
            <b:First>Dora</b:First>
          </b:Person>
        </b:NameList>
      </b:Author>
    </b:Author>
    <b:Title>Estrategias disposicionales y aprendizajes significativos en el aula virtual</b:Title>
    <b:JournalName>Revista Educación</b:JournalName>
    <b:Year>2019</b:Year>
    <b:Pages>2215-2644</b:Pages>
    <b:RefOrder>3</b:RefOrder>
  </b:Source>
  <b:Source>
    <b:Tag>Fre21</b:Tag>
    <b:SourceType>JournalArticle</b:SourceType>
    <b:Guid>{6BA1AF48-23EF-4968-9416-A9AF58F1390D}</b:Guid>
    <b:Author>
      <b:Author>
        <b:NameList>
          <b:Person>
            <b:Last>Cañizares</b:Last>
            <b:First>Fredy</b:First>
          </b:Person>
          <b:Person>
            <b:Last>Quevedo</b:Last>
            <b:First>Ned</b:First>
          </b:Person>
          <b:Person>
            <b:Last>García</b:Last>
            <b:First>Nemis</b:First>
          </b:Person>
        </b:NameList>
      </b:Author>
    </b:Author>
    <b:Title>Retos de la enseánza aprendizaje virtual- Creatividad del docentes, clases sincrónicas o asincrónicas y principios didácticos </b:Title>
    <b:JournalName>Revista Conrado</b:JournalName>
    <b:Year>2021</b:Year>
    <b:Pages>331-339</b:Pages>
    <b:RefOrder>21</b:RefOrder>
  </b:Source>
  <b:Source>
    <b:Tag>Dor22</b:Tag>
    <b:SourceType>JournalArticle</b:SourceType>
    <b:Guid>{87A7BFEB-A57A-4BBD-836C-79192FE4828E}</b:Guid>
    <b:Author>
      <b:Author>
        <b:NameList>
          <b:Person>
            <b:Last>Alfaro</b:Last>
            <b:First>Doralbis</b:First>
          </b:Person>
          <b:Person>
            <b:Last>Ortega</b:Last>
            <b:First>Boris</b:First>
          </b:Person>
          <b:Person>
            <b:Last>Lozano</b:Last>
            <b:First>Berta</b:First>
          </b:Person>
        </b:NameList>
      </b:Author>
    </b:Author>
    <b:Title>plicación del análisis de varianza para comparar el aprendizaje de los estudiantes en tres modalidades: virtual sincrónica, virtual asincrónica y presencial.</b:Title>
    <b:JournalName>Revista Guacamaya</b:JournalName>
    <b:Year>2022</b:Year>
    <b:Pages>60-72</b:Pages>
    <b:RefOrder>22</b:RefOrder>
  </b:Source>
  <b:Source>
    <b:Tag>Min1</b:Tag>
    <b:SourceType>InternetSite</b:SourceType>
    <b:Guid>{3624974E-2781-4382-9EA7-6EC3531C1328}</b:Guid>
    <b:Title>Comunicación</b:Title>
    <b:Author>
      <b:Author>
        <b:Corporate>Ministerio de Educación</b:Corporate>
      </b:Author>
    </b:Author>
    <b:InternetSiteTitle>Noticias</b:InternetSiteTitle>
    <b:URL>https://educacion.gob.ec/se-suspende-la-asistencia-a-clases-en-las-6-provincias-en-estado-de-emergencia-y-en-7-cantones-mas/</b:URL>
    <b:RefOrder>23</b:RefOrder>
  </b:Source>
  <b:Source>
    <b:Tag>Pau20</b:Tag>
    <b:SourceType>DocumentFromInternetSite</b:SourceType>
    <b:Guid>{E6A86A95-1E8F-4BA2-A390-3B415B98A99C}</b:Guid>
    <b:Title>Observatorio  para el Futuro para la Educación</b:Title>
    <b:InternetSiteTitle>¿Conoces las diferencias entre el aprendizaje sincrónico y asíncrono? ¿Sus ventajas y desventajas? Aquí las explicamos. </b:InternetSiteTitle>
    <b:Year>2020</b:Year>
    <b:Month>junio</b:Month>
    <b:Day>23</b:Day>
    <b:URL>https://observatorio.tec.mx/edu-news/aprendizaje-sincronico-y-asincronico-definicion/</b:URL>
    <b:Author>
      <b:Author>
        <b:NameList>
          <b:Person>
            <b:Last>Delgado</b:Last>
            <b:First>Paulette</b:First>
          </b:Person>
        </b:NameList>
      </b:Author>
    </b:Author>
    <b:RefOrder>24</b:RefOrder>
  </b:Source>
  <b:Source>
    <b:Tag>Orj10</b:Tag>
    <b:SourceType>JournalArticle</b:SourceType>
    <b:Guid>{E5493B47-B78D-46B3-A6A6-815533892EC9}</b:Guid>
    <b:Author>
      <b:Author>
        <b:NameList>
          <b:Person>
            <b:Last>Orjuela</b:Last>
            <b:First>Dora</b:First>
          </b:Person>
        </b:NameList>
      </b:Author>
    </b:Author>
    <b:Title>Integrar las TIC al currículo en la educación media</b:Title>
    <b:Year>2010</b:Year>
    <b:JournalName>Revista UNAD</b:JournalName>
    <b:Pages>138 - 156</b:Pages>
    <b:RefOrder>4</b:RefOrder>
  </b:Source>
  <b:Source>
    <b:Tag>MarcadorDePosición11</b:Tag>
    <b:SourceType>JournalArticle</b:SourceType>
    <b:Guid>{4AD7ACE7-6C25-4890-93A7-29274100E366}</b:Guid>
    <b:Author>
      <b:Author>
        <b:NameList>
          <b:Person>
            <b:Last>Piriz</b:Last>
            <b:First>Mirta</b:First>
          </b:Person>
          <b:Person>
            <b:Last>Sanabria</b:Last>
            <b:First>Del</b:First>
            <b:Middle>Pilar</b:Middle>
          </b:Person>
          <b:Person>
            <b:Last>Lea</b:Last>
            <b:First>Gabriel</b:First>
          </b:Person>
        </b:NameList>
      </b:Author>
    </b:Author>
    <b:Title>Reflexión sobre las prácticas áulicas en el mundo de la virtualidad en Didáctica, Currículum y Aprendizaje II </b:Title>
    <b:JournalName>Seminario específicos del profesorado portugués y profesorado en Historia con Orientación en Ciencias Sociales.</b:JournalName>
    <b:Pages>1 - 11</b:Pages>
    <b:RefOrder>25</b:RefOrder>
  </b:Source>
  <b:Source>
    <b:Tag>Tap20</b:Tag>
    <b:SourceType>JournalArticle</b:SourceType>
    <b:Guid>{6D27B3A2-FF14-42E2-911B-B37B85CAB613}</b:Guid>
    <b:Author>
      <b:Author>
        <b:NameList>
          <b:Person>
            <b:Last>Tapia</b:Last>
            <b:First>R.,</b:First>
            <b:Middle>García, D., Cárdenas, N., &amp; Erazo, J.</b:Middle>
          </b:Person>
        </b:NameList>
      </b:Author>
    </b:Author>
    <b:Title>Genially  como  una  herramienta  didáctica  para desarrollar   la   redacción   creativa   en   estudiantes   de   bachillerato</b:Title>
    <b:JournalName>Revista Cienciamatria Interdisciplinaria     de     Humanidades,     Educación,     Ciencia     y     Tecnología</b:JournalName>
    <b:Year>2020</b:Year>
    <b:RefOrder>26</b:RefOrder>
  </b:Source>
  <b:Source>
    <b:Tag>Edd20</b:Tag>
    <b:SourceType>Book</b:SourceType>
    <b:Guid>{F48A254A-CA0A-4A93-B0DE-EAC069AA9BD2}</b:Guid>
    <b:Title>Gamificación en técnicas de aprendizaje mediante aulas virtuales metafóricas en educación superior modalidad en línea</b:Title>
    <b:Year>2020</b:Year>
    <b:Author>
      <b:Author>
        <b:NameList>
          <b:Person>
            <b:Last>Velez</b:Last>
            <b:First>Edda</b:First>
          </b:Person>
        </b:NameList>
      </b:Author>
    </b:Author>
    <b:City>Ibarra</b:City>
    <b:Publisher>Universidad Técnica del Norte</b:Publisher>
    <b:RefOrder>27</b:RefOrder>
  </b:Source>
  <b:Source>
    <b:Tag>Can20</b:Tag>
    <b:SourceType>JournalArticle</b:SourceType>
    <b:Guid>{98DC2450-754F-44A5-8CB7-78EF0E83FFB9}</b:Guid>
    <b:Author>
      <b:Author>
        <b:NameList>
          <b:Person>
            <b:Last>Canuto</b:Last>
            <b:First>Livia</b:First>
          </b:Person>
          <b:Person>
            <b:Last>Souto</b:Last>
            <b:First>Adeila</b:First>
          </b:Person>
        </b:NameList>
      </b:Author>
    </b:Author>
    <b:Title>Métodos de Revisión Bibliográficas en estudios científicos</b:Title>
    <b:Year>2020</b:Year>
    <b:JournalName>Psicologia em Revista</b:JournalName>
    <b:Pages>82-100</b:Pages>
    <b:RefOrder>28</b:RefOrder>
  </b:Source>
  <b:Source>
    <b:Tag>Mar111</b:Tag>
    <b:SourceType>JournalArticle</b:SourceType>
    <b:Guid>{6495D50A-F5F8-447D-800A-542AAC845AA5}</b:Guid>
    <b:Author>
      <b:Author>
        <b:NameList>
          <b:Person>
            <b:Last>Giraldo</b:Last>
            <b:First>Mariselda</b:First>
          </b:Person>
        </b:NameList>
      </b:Author>
    </b:Author>
    <b:Title>Abordaje de la Investigación Cualitativa a través de la Teoría Fundamentada en los Datos</b:Title>
    <b:JournalName>Ingeniería Industrial. Actualidad y Nuevas Tendencias</b:JournalName>
    <b:Year>2011</b:Year>
    <b:Pages>79-86</b:Pages>
    <b:RefOrder>29</b:RefOrder>
  </b:Source>
  <b:Source>
    <b:Tag>Kal16</b:Tag>
    <b:SourceType>Book</b:SourceType>
    <b:Guid>{BD197DC6-31A4-452B-874F-774A3D1881F2}</b:Guid>
    <b:Author>
      <b:Author>
        <b:NameList>
          <b:Person>
            <b:Last>Kalbach</b:Last>
            <b:First>James</b:First>
          </b:Person>
        </b:NameList>
      </b:Author>
    </b:Author>
    <b:Title>"Mapping Experiences: A Guide to Creating Value through Journeys, Blueprints, and Diagrams"</b:Title>
    <b:Year>2016</b:Year>
    <b:Publisher>O` Reilly Media</b:Publisher>
    <b:CountryRegion>Canadá</b:CountryRegion>
    <b:URL>https://books.google.com.ec/books?id=fK4fDAAAQBAJ&amp;printsec=frontcover&amp;hl=es#v=onepage&amp;q&amp;f=false</b:URL>
    <b:RefOrder>1</b:RefOrder>
  </b:Source>
  <b:Source>
    <b:Tag>Man18</b:Tag>
    <b:SourceType>Book</b:SourceType>
    <b:Guid>{72D79529-2876-4429-99B4-ACA16716F8FB}</b:Guid>
    <b:Author>
      <b:Author>
        <b:NameList>
          <b:Person>
            <b:Last>Manlio Del Giudice</b:Last>
            <b:First>Maria</b:First>
            <b:Middle>Rosaria Della Peruta</b:Middle>
          </b:Person>
        </b:NameList>
      </b:Author>
    </b:Author>
    <b:Title>The Satisfaction of Change: How Knowledge and Innovation Overcome Loyalty in Decision-Making Processes</b:Title>
    <b:Year>2018</b:Year>
    <b:Publisher>Palgrave Macmillan</b:Publisher>
    <b:CountryRegion>Estados Unidos</b:CountryRegion>
    <b:RefOrder>2</b:RefOrder>
  </b:Source>
  <b:Source>
    <b:Tag>Zei09</b:Tag>
    <b:SourceType>Book</b:SourceType>
    <b:Guid>{0C155E70-8F2B-43BC-A431-8828F3BB4864}</b:Guid>
    <b:Title>Marketing de Servicios</b:Title>
    <b:Year>2009</b:Year>
    <b:Author>
      <b:Author>
        <b:NameList>
          <b:Person>
            <b:Last>Zeithaml</b:Last>
            <b:First>B.</b:First>
          </b:Person>
        </b:NameList>
      </b:Author>
    </b:Author>
    <b:Publisher>Mc-Grawhill.</b:Publisher>
    <b:RefOrder>3</b:RefOrder>
  </b:Source>
  <b:Source>
    <b:Tag>Alb04</b:Tag>
    <b:SourceType>Book</b:SourceType>
    <b:Guid>{E66A7148-4A00-4DAF-A1C1-37EB09ECEBFF}</b:Guid>
    <b:Author>
      <b:Author>
        <b:NameList>
          <b:Person>
            <b:Last>Albrecht</b:Last>
            <b:First>k.</b:First>
          </b:Person>
        </b:NameList>
      </b:Author>
    </b:Author>
    <b:Title>La excelencia del Servicio</b:Title>
    <b:Year>2004</b:Year>
    <b:Publisher>Editores 3R</b:Publisher>
    <b:RefOrder>4</b:RefOrder>
  </b:Source>
  <b:Source>
    <b:Tag>Pon10</b:Tag>
    <b:SourceType>Book</b:SourceType>
    <b:Guid>{2152CD6E-E83C-48AF-898F-A172F842ED3A}</b:Guid>
    <b:Author>
      <b:Author>
        <b:NameList>
          <b:Person>
            <b:Last>Ponce</b:Last>
            <b:First>Juan</b:First>
          </b:Person>
        </b:NameList>
      </b:Author>
    </b:Author>
    <b:Title>Políticas educativas y desempeño: Una evaluación de impacto de programas educativos focalizados en Ecuador</b:Title>
    <b:Year>2010</b:Year>
    <b:City>Quito</b:City>
    <b:Publisher>FLACSO</b:Publisher>
    <b:RefOrder>1</b:RefOrder>
  </b:Source>
  <b:Source>
    <b:Tag>UNE22</b:Tag>
    <b:SourceType>Book</b:SourceType>
    <b:Guid>{EAD9CDE9-6C17-4F41-A4A9-99E98106FA19}</b:Guid>
    <b:Author>
      <b:Author>
        <b:NameList>
          <b:Person>
            <b:Last>UNESCO</b:Last>
          </b:Person>
        </b:NameList>
      </b:Author>
    </b:Author>
    <b:Title>Informe de seguimiento de la educación en el mundo 2021/2: Los actores no estatales en la educación ¿Quién elige? ¿Quién pierde?</b:Title>
    <b:Year>2022</b:Year>
    <b:City>Paris</b:City>
    <b:Publisher>UNESCO</b:Publisher>
    <b:RefOrder>2</b:RefOrder>
  </b:Source>
  <b:Source>
    <b:Tag>INE24</b:Tag>
    <b:SourceType>Report</b:SourceType>
    <b:Guid>{8A30851E-E98D-4492-9A93-EA0F310469BB}</b:Guid>
    <b:Title>Encuesta Nacional de Empleo, Desempleo y  Subempleo (ENEMDU)</b:Title>
    <b:Year>2024</b:Year>
    <b:City>Quito</b:City>
    <b:Publisher>INEC</b:Publisher>
    <b:Author>
      <b:Author>
        <b:NameList>
          <b:Person>
            <b:Last>INEC</b:Last>
          </b:Person>
        </b:NameList>
      </b:Author>
    </b:Author>
    <b:RefOrder>3</b:RefOrder>
  </b:Source>
  <b:Source>
    <b:Tag>CEP21</b:Tag>
    <b:SourceType>InternetSite</b:SourceType>
    <b:Guid>{6DDD6349-A526-48A0-8B5B-42637E633B92}</b:Guid>
    <b:Title>Los retos y oportunidades de la educación secundaria en América Latina y el Caribe durante y después de la pandemia</b:Title>
    <b:Year>2021</b:Year>
    <b:Author>
      <b:Author>
        <b:NameList>
          <b:Person>
            <b:Last>CEPAL</b:Last>
          </b:Person>
        </b:NameList>
      </b:Author>
    </b:Author>
    <b:URL>https://www.cepal.org/es/enfoques/retos-oportunidades-la-educacion-secundaria-america-latina-caribe-durante-despues-la</b:URL>
    <b:RefOrder>5</b:RefOrder>
  </b:Source>
  <b:Source>
    <b:Tag>Mye22</b:Tag>
    <b:SourceType>Book</b:SourceType>
    <b:Guid>{CF80FF7C-D26B-4CAC-9D99-575C3C86EE00}</b:Guid>
    <b:Author>
      <b:Author>
        <b:NameList>
          <b:Person>
            <b:Last>Myers</b:Last>
            <b:First>C</b:First>
          </b:Person>
          <b:Person>
            <b:Last>Wyss</b:Last>
            <b:First>N</b:First>
          </b:Person>
          <b:Person>
            <b:Last>Villavicencio Peralta</b:Last>
            <b:First>X</b:First>
          </b:Person>
          <b:Person>
            <b:Last>Coflan</b:Last>
            <b:First>C</b:First>
          </b:Person>
        </b:NameList>
      </b:Author>
    </b:Author>
    <b:Title>Mapeo y análisis de programas EdTech en América Latina y el Caribe</b:Title>
    <b:Year>2022</b:Year>
    <b:Publisher>EdTech Hub</b:Publisher>
    <b:City>Washington</b:City>
    <b:DOI>https://doi.org/10.53832/edtechhub.0132</b:DOI>
    <b:RefOrder>6</b:RefOrder>
  </b:Source>
  <b:Source>
    <b:Tag>Las24</b:Tag>
    <b:SourceType>Report</b:SourceType>
    <b:Guid>{AD3F16DB-E518-46FA-AF3C-DEB879329801}</b:Guid>
    <b:Title>Global Entrepreneurship Monitor Ecuador 2023/2024</b:Title>
    <b:Year>2024</b:Year>
    <b:Author>
      <b:Author>
        <b:NameList>
          <b:Person>
            <b:Last>Lasio</b:Last>
            <b:First>V</b:First>
          </b:Person>
          <b:Person>
            <b:Last>Amaya</b:Last>
            <b:First>A</b:First>
          </b:Person>
          <b:Person>
            <b:Last>Espinosa</b:Last>
            <b:First>M</b:First>
          </b:Person>
          <b:Person>
            <b:Last>Mahauad</b:Last>
            <b:First>M</b:First>
          </b:Person>
          <b:Person>
            <b:Last>Sarango</b:Last>
            <b:First>P</b:First>
          </b:Person>
        </b:NameList>
      </b:Author>
    </b:Author>
    <b:Publisher>ESPAE</b:Publisher>
    <b:City>Guayaquil</b:City>
    <b:RefOrder>4</b:RefOrder>
  </b:Source>
</b:Sources>
</file>

<file path=customXml/itemProps1.xml><?xml version="1.0" encoding="utf-8"?>
<ds:datastoreItem xmlns:ds="http://schemas.openxmlformats.org/officeDocument/2006/customXml" ds:itemID="{16321A43-AE9B-6F44-9754-0C4ACFC83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15</Pages>
  <Words>4558</Words>
  <Characters>25073</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cilda</dc:creator>
  <cp:keywords>docId:1D8F8B8BDBB81D5F28FC91105055D8CC</cp:keywords>
  <dc:description/>
  <cp:lastModifiedBy>Karel</cp:lastModifiedBy>
  <cp:revision>5</cp:revision>
  <cp:lastPrinted>2024-10-02T23:32:00Z</cp:lastPrinted>
  <dcterms:created xsi:type="dcterms:W3CDTF">2026-05-17T21:30:00Z</dcterms:created>
  <dcterms:modified xsi:type="dcterms:W3CDTF">2026-05-17T22:44:00Z</dcterms:modified>
</cp:coreProperties>
</file>